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414E11B" w:rsidP="0414E11B" w:rsidRDefault="0414E11B" w14:noSpellErr="1" w14:paraId="23092289" w14:textId="6EBC3656">
      <w:pPr>
        <w:jc w:val="center"/>
        <w:rPr>
          <w:b w:val="1"/>
          <w:bCs w:val="1"/>
          <w:sz w:val="26"/>
          <w:szCs w:val="26"/>
        </w:rPr>
      </w:pPr>
    </w:p>
    <w:p w:rsidR="0414E11B" w:rsidP="0414E11B" w:rsidRDefault="0414E11B" w14:noSpellErr="1" w14:paraId="23328B9B" w14:textId="01FED209">
      <w:pPr>
        <w:jc w:val="center"/>
        <w:rPr>
          <w:b w:val="1"/>
          <w:bCs w:val="1"/>
          <w:sz w:val="26"/>
          <w:szCs w:val="26"/>
        </w:rPr>
      </w:pPr>
    </w:p>
    <w:p w:rsidRPr="00D1540F" w:rsidR="0002362A" w:rsidP="0002362A" w:rsidRDefault="00AF5811" w14:paraId="215FC400" w14:textId="2E346D43">
      <w:pPr>
        <w:jc w:val="center"/>
        <w:rPr>
          <w:b/>
          <w:bCs/>
          <w:sz w:val="26"/>
          <w:szCs w:val="26"/>
        </w:rPr>
      </w:pPr>
      <w:r w:rsidRPr="00D1540F">
        <w:rPr>
          <w:b/>
          <w:bCs/>
          <w:sz w:val="26"/>
          <w:szCs w:val="26"/>
        </w:rPr>
        <w:t>State Elect</w:t>
      </w:r>
      <w:r w:rsidRPr="00D1540F" w:rsidR="00183AF9">
        <w:rPr>
          <w:b/>
          <w:bCs/>
          <w:sz w:val="26"/>
          <w:szCs w:val="26"/>
        </w:rPr>
        <w:t>ion</w:t>
      </w:r>
      <w:r w:rsidRPr="00D1540F" w:rsidR="0002362A">
        <w:rPr>
          <w:b/>
          <w:bCs/>
          <w:sz w:val="26"/>
          <w:szCs w:val="26"/>
        </w:rPr>
        <w:t xml:space="preserve"> Commission in Montenegro - a failed experiment</w:t>
      </w:r>
    </w:p>
    <w:p w:rsidRPr="00D1540F" w:rsidR="0002362A" w:rsidP="0002362A" w:rsidRDefault="0002362A" w14:paraId="4DDB3D82" w14:textId="71EEEE5E">
      <w:pPr>
        <w:jc w:val="center"/>
        <w:rPr>
          <w:b/>
          <w:bCs/>
          <w:sz w:val="26"/>
          <w:szCs w:val="26"/>
        </w:rPr>
      </w:pPr>
      <w:r w:rsidRPr="00D1540F">
        <w:rPr>
          <w:b/>
          <w:bCs/>
          <w:sz w:val="26"/>
          <w:szCs w:val="26"/>
        </w:rPr>
        <w:t>Necessary steps to create a credible institution</w:t>
      </w:r>
    </w:p>
    <w:p w:rsidRPr="00D1540F" w:rsidR="7F38AE48" w:rsidP="7F38AE48" w:rsidRDefault="7F38AE48" w14:paraId="4FE49377" w14:textId="193D3A39">
      <w:pPr>
        <w:jc w:val="center"/>
        <w:rPr>
          <w:b/>
          <w:bCs/>
        </w:rPr>
      </w:pPr>
    </w:p>
    <w:p w:rsidRPr="00D1540F" w:rsidR="4EE24F47" w:rsidP="7F38AE48" w:rsidRDefault="00B17A3B" w14:paraId="34AE8A23" w14:textId="6EF9A28F">
      <w:pPr>
        <w:jc w:val="both"/>
        <w:rPr>
          <w:b/>
          <w:bCs/>
        </w:rPr>
      </w:pPr>
      <w:r w:rsidRPr="00D1540F">
        <w:rPr>
          <w:b/>
          <w:bCs/>
        </w:rPr>
        <w:t>Authors</w:t>
      </w:r>
      <w:r w:rsidRPr="00D1540F" w:rsidR="7F38AE48">
        <w:rPr>
          <w:b/>
          <w:bCs/>
        </w:rPr>
        <w:t>: Dragan Koprivica, Milica Kovačević</w:t>
      </w:r>
    </w:p>
    <w:p w:rsidRPr="00D1540F" w:rsidR="4EE24F47" w:rsidP="7F38AE48" w:rsidRDefault="0002362A" w14:paraId="22144E83" w14:textId="1FC56929">
      <w:pPr>
        <w:jc w:val="both"/>
        <w:rPr>
          <w:b/>
          <w:bCs/>
        </w:rPr>
      </w:pPr>
      <w:r w:rsidRPr="0414E11B" w:rsidR="0414E11B">
        <w:rPr>
          <w:b w:val="1"/>
          <w:bCs w:val="1"/>
        </w:rPr>
        <w:t>Podgorica, J</w:t>
      </w:r>
      <w:r w:rsidRPr="0414E11B" w:rsidR="0414E11B">
        <w:rPr>
          <w:b w:val="1"/>
          <w:bCs w:val="1"/>
        </w:rPr>
        <w:t>un</w:t>
      </w:r>
      <w:r w:rsidRPr="0414E11B" w:rsidR="0414E11B">
        <w:rPr>
          <w:b w:val="1"/>
          <w:bCs w:val="1"/>
        </w:rPr>
        <w:t>e</w:t>
      </w:r>
      <w:r w:rsidRPr="0414E11B" w:rsidR="0414E11B">
        <w:rPr>
          <w:b w:val="1"/>
          <w:bCs w:val="1"/>
        </w:rPr>
        <w:t xml:space="preserve"> 2018</w:t>
      </w:r>
    </w:p>
    <w:p w:rsidRPr="00D1540F" w:rsidR="4EE24F47" w:rsidP="2B108C12" w:rsidRDefault="0002362A" w14:paraId="0EADF703" w14:textId="2C70FEBB">
      <w:pPr>
        <w:jc w:val="both"/>
        <w:rPr>
          <w:b/>
          <w:bCs/>
          <w:sz w:val="26"/>
          <w:szCs w:val="26"/>
        </w:rPr>
      </w:pPr>
      <w:r w:rsidRPr="00D1540F">
        <w:rPr>
          <w:b/>
          <w:bCs/>
          <w:sz w:val="26"/>
          <w:szCs w:val="26"/>
        </w:rPr>
        <w:t>Introduction</w:t>
      </w:r>
    </w:p>
    <w:p w:rsidRPr="00D1540F" w:rsidR="00683923" w:rsidP="00683923" w:rsidRDefault="00DE7596" w14:paraId="7AA6D79E" w14:textId="5CE51591">
      <w:pPr>
        <w:jc w:val="both"/>
        <w:rPr>
          <w:rFonts w:ascii="Calibri" w:hAnsi="Calibri" w:eastAsia="Calibri" w:cs="Calibri"/>
        </w:rPr>
      </w:pPr>
      <w:r w:rsidRPr="00D1540F">
        <w:rPr>
          <w:rFonts w:ascii="Calibri" w:hAnsi="Calibri" w:eastAsia="Calibri" w:cs="Calibri"/>
        </w:rPr>
        <w:t xml:space="preserve">Since the introduction of </w:t>
      </w:r>
      <w:r w:rsidR="0048383B">
        <w:rPr>
          <w:rFonts w:ascii="Calibri" w:hAnsi="Calibri" w:eastAsia="Calibri" w:cs="Calibri"/>
        </w:rPr>
        <w:t xml:space="preserve">the </w:t>
      </w:r>
      <w:r w:rsidRPr="00D1540F">
        <w:rPr>
          <w:rFonts w:ascii="Calibri" w:hAnsi="Calibri" w:eastAsia="Calibri" w:cs="Calibri"/>
        </w:rPr>
        <w:t>multi-party system i</w:t>
      </w:r>
      <w:r w:rsidRPr="00D1540F" w:rsidR="00683923">
        <w:rPr>
          <w:rFonts w:ascii="Calibri" w:hAnsi="Calibri" w:eastAsia="Calibri" w:cs="Calibri"/>
        </w:rPr>
        <w:t>n Montenegro</w:t>
      </w:r>
      <w:r w:rsidRPr="00D1540F" w:rsidR="00C7504D">
        <w:rPr>
          <w:rFonts w:ascii="Calibri" w:hAnsi="Calibri" w:eastAsia="Calibri" w:cs="Calibri"/>
        </w:rPr>
        <w:t>,</w:t>
      </w:r>
      <w:r w:rsidRPr="00D1540F" w:rsidR="00683923">
        <w:rPr>
          <w:rFonts w:ascii="Calibri" w:hAnsi="Calibri" w:eastAsia="Calibri" w:cs="Calibri"/>
        </w:rPr>
        <w:t xml:space="preserve"> an efficient model of election administration work</w:t>
      </w:r>
      <w:r w:rsidRPr="00D1540F" w:rsidR="00C7504D">
        <w:rPr>
          <w:rFonts w:ascii="Calibri" w:hAnsi="Calibri" w:eastAsia="Calibri" w:cs="Calibri"/>
        </w:rPr>
        <w:t xml:space="preserve"> is being sought</w:t>
      </w:r>
      <w:r w:rsidRPr="00D1540F" w:rsidR="00683923">
        <w:rPr>
          <w:rFonts w:ascii="Calibri" w:hAnsi="Calibri" w:eastAsia="Calibri" w:cs="Calibri"/>
        </w:rPr>
        <w:t>. All previous attempts h</w:t>
      </w:r>
      <w:r w:rsidR="0048383B">
        <w:rPr>
          <w:rFonts w:ascii="Calibri" w:hAnsi="Calibri" w:eastAsia="Calibri" w:cs="Calibri"/>
        </w:rPr>
        <w:t xml:space="preserve">ave one common denominator: no “electoral </w:t>
      </w:r>
      <w:r w:rsidR="00DD56CC">
        <w:rPr>
          <w:rFonts w:ascii="Calibri" w:hAnsi="Calibri" w:eastAsia="Calibri" w:cs="Calibri"/>
        </w:rPr>
        <w:t>authority</w:t>
      </w:r>
      <w:r w:rsidR="0048383B">
        <w:rPr>
          <w:rFonts w:ascii="Calibri" w:hAnsi="Calibri" w:eastAsia="Calibri" w:cs="Calibri"/>
        </w:rPr>
        <w:t>”</w:t>
      </w:r>
      <w:r w:rsidRPr="00D1540F" w:rsidR="00683923">
        <w:rPr>
          <w:rFonts w:ascii="Calibri" w:hAnsi="Calibri" w:eastAsia="Calibri" w:cs="Calibri"/>
        </w:rPr>
        <w:t xml:space="preserve"> has emerged, which, by the authority of a strong institution, defends democratic principles and increases </w:t>
      </w:r>
      <w:r w:rsidR="005E4539">
        <w:rPr>
          <w:rFonts w:ascii="Calibri" w:hAnsi="Calibri" w:eastAsia="Calibri" w:cs="Calibri"/>
        </w:rPr>
        <w:t>citizen</w:t>
      </w:r>
      <w:r w:rsidRPr="00D1540F" w:rsidR="00683923">
        <w:rPr>
          <w:rFonts w:ascii="Calibri" w:hAnsi="Calibri" w:eastAsia="Calibri" w:cs="Calibri"/>
        </w:rPr>
        <w:t xml:space="preserve"> </w:t>
      </w:r>
      <w:r w:rsidRPr="00D1540F" w:rsidR="00EE7447">
        <w:rPr>
          <w:rFonts w:ascii="Calibri" w:hAnsi="Calibri" w:eastAsia="Calibri" w:cs="Calibri"/>
        </w:rPr>
        <w:t>trust</w:t>
      </w:r>
      <w:r w:rsidRPr="00D1540F" w:rsidR="00683923">
        <w:rPr>
          <w:rFonts w:ascii="Calibri" w:hAnsi="Calibri" w:eastAsia="Calibri" w:cs="Calibri"/>
        </w:rPr>
        <w:t xml:space="preserve"> in the electoral process.</w:t>
      </w:r>
    </w:p>
    <w:p w:rsidRPr="00D1540F" w:rsidR="00683923" w:rsidP="00683923" w:rsidRDefault="00683923" w14:paraId="37CF99B3" w14:textId="392CC14A">
      <w:pPr>
        <w:jc w:val="both"/>
        <w:rPr>
          <w:rFonts w:ascii="Calibri" w:hAnsi="Calibri" w:eastAsia="Calibri" w:cs="Calibri"/>
        </w:rPr>
      </w:pPr>
      <w:r w:rsidRPr="00D1540F">
        <w:rPr>
          <w:rFonts w:ascii="Calibri" w:hAnsi="Calibri" w:eastAsia="Calibri" w:cs="Calibri"/>
        </w:rPr>
        <w:t xml:space="preserve">In this election cycle, </w:t>
      </w:r>
      <w:r w:rsidRPr="00D1540F" w:rsidR="00DE7596">
        <w:rPr>
          <w:rFonts w:ascii="Calibri" w:hAnsi="Calibri" w:eastAsia="Calibri" w:cs="Calibri"/>
        </w:rPr>
        <w:t>the SEC has made certain steps forward</w:t>
      </w:r>
      <w:r w:rsidRPr="00DD56CC" w:rsidR="00DD56CC">
        <w:rPr>
          <w:rFonts w:ascii="Calibri" w:hAnsi="Calibri" w:eastAsia="Calibri" w:cs="Calibri"/>
        </w:rPr>
        <w:t xml:space="preserve"> </w:t>
      </w:r>
      <w:r w:rsidRPr="00D1540F" w:rsidR="00DD56CC">
        <w:rPr>
          <w:rFonts w:ascii="Calibri" w:hAnsi="Calibri" w:eastAsia="Calibri" w:cs="Calibri"/>
        </w:rPr>
        <w:t xml:space="preserve">in some areas of </w:t>
      </w:r>
      <w:r w:rsidR="00DD56CC">
        <w:rPr>
          <w:rFonts w:ascii="Calibri" w:hAnsi="Calibri" w:eastAsia="Calibri" w:cs="Calibri"/>
        </w:rPr>
        <w:t xml:space="preserve">its </w:t>
      </w:r>
      <w:r w:rsidRPr="00D1540F" w:rsidR="00DD56CC">
        <w:rPr>
          <w:rFonts w:ascii="Calibri" w:hAnsi="Calibri" w:eastAsia="Calibri" w:cs="Calibri"/>
        </w:rPr>
        <w:t>work</w:t>
      </w:r>
      <w:r w:rsidRPr="00D1540F" w:rsidR="00DE7596">
        <w:rPr>
          <w:rFonts w:ascii="Calibri" w:hAnsi="Calibri" w:eastAsia="Calibri" w:cs="Calibri"/>
        </w:rPr>
        <w:t>,</w:t>
      </w:r>
      <w:r w:rsidRPr="00D1540F">
        <w:rPr>
          <w:rFonts w:ascii="Calibri" w:hAnsi="Calibri" w:eastAsia="Calibri" w:cs="Calibri"/>
        </w:rPr>
        <w:t xml:space="preserve"> but the</w:t>
      </w:r>
      <w:r w:rsidRPr="00D1540F" w:rsidR="00826D07">
        <w:rPr>
          <w:rFonts w:ascii="Calibri" w:hAnsi="Calibri" w:eastAsia="Calibri" w:cs="Calibri"/>
        </w:rPr>
        <w:t>re</w:t>
      </w:r>
      <w:r w:rsidRPr="00D1540F">
        <w:rPr>
          <w:rFonts w:ascii="Calibri" w:hAnsi="Calibri" w:eastAsia="Calibri" w:cs="Calibri"/>
        </w:rPr>
        <w:t xml:space="preserve"> </w:t>
      </w:r>
      <w:r w:rsidRPr="00D1540F" w:rsidR="00826D07">
        <w:rPr>
          <w:rFonts w:ascii="Calibri" w:hAnsi="Calibri" w:eastAsia="Calibri" w:cs="Calibri"/>
        </w:rPr>
        <w:t xml:space="preserve">were considerably more </w:t>
      </w:r>
      <w:r w:rsidRPr="00D1540F">
        <w:rPr>
          <w:rFonts w:ascii="Calibri" w:hAnsi="Calibri" w:eastAsia="Calibri" w:cs="Calibri"/>
        </w:rPr>
        <w:t>steps back</w:t>
      </w:r>
      <w:r w:rsidRPr="00D1540F" w:rsidR="00826D07">
        <w:rPr>
          <w:rFonts w:ascii="Calibri" w:hAnsi="Calibri" w:eastAsia="Calibri" w:cs="Calibri"/>
        </w:rPr>
        <w:t>ward</w:t>
      </w:r>
      <w:r w:rsidRPr="00D1540F">
        <w:rPr>
          <w:rFonts w:ascii="Calibri" w:hAnsi="Calibri" w:eastAsia="Calibri" w:cs="Calibri"/>
        </w:rPr>
        <w:t>.</w:t>
      </w:r>
    </w:p>
    <w:p w:rsidRPr="00D1540F" w:rsidR="00EE7447" w:rsidP="00EE7447" w:rsidRDefault="00DE7596" w14:paraId="151C7FAA" w14:textId="2D90735D">
      <w:pPr>
        <w:jc w:val="both"/>
        <w:rPr>
          <w:rFonts w:ascii="Calibri" w:hAnsi="Calibri" w:eastAsia="Calibri" w:cs="Calibri"/>
        </w:rPr>
      </w:pPr>
      <w:r w:rsidRPr="00D1540F">
        <w:rPr>
          <w:rFonts w:ascii="Calibri" w:hAnsi="Calibri" w:eastAsia="Calibri" w:cs="Calibri"/>
        </w:rPr>
        <w:t>In addition to</w:t>
      </w:r>
      <w:r w:rsidRPr="00D1540F" w:rsidR="00835383">
        <w:rPr>
          <w:rFonts w:ascii="Calibri" w:hAnsi="Calibri" w:eastAsia="Calibri" w:cs="Calibri"/>
        </w:rPr>
        <w:t xml:space="preserve"> the</w:t>
      </w:r>
      <w:r w:rsidRPr="00D1540F">
        <w:rPr>
          <w:rFonts w:ascii="Calibri" w:hAnsi="Calibri" w:eastAsia="Calibri" w:cs="Calibri"/>
        </w:rPr>
        <w:t xml:space="preserve"> l</w:t>
      </w:r>
      <w:r w:rsidRPr="00D1540F" w:rsidR="00EE7447">
        <w:rPr>
          <w:rFonts w:ascii="Calibri" w:hAnsi="Calibri" w:eastAsia="Calibri" w:cs="Calibri"/>
        </w:rPr>
        <w:t>ack of transparency, questionable independence, clear politicization and unbuilt ca</w:t>
      </w:r>
      <w:r w:rsidRPr="00D1540F">
        <w:rPr>
          <w:rFonts w:ascii="Calibri" w:hAnsi="Calibri" w:eastAsia="Calibri" w:cs="Calibri"/>
        </w:rPr>
        <w:t>pacities, the SEC</w:t>
      </w:r>
      <w:r w:rsidRPr="00D1540F" w:rsidR="00EE7447">
        <w:rPr>
          <w:rFonts w:ascii="Calibri" w:hAnsi="Calibri" w:eastAsia="Calibri" w:cs="Calibri"/>
        </w:rPr>
        <w:t xml:space="preserve"> has also made decisions </w:t>
      </w:r>
      <w:r w:rsidRPr="00D1540F" w:rsidR="004527E2">
        <w:rPr>
          <w:rFonts w:ascii="Calibri" w:hAnsi="Calibri" w:eastAsia="Calibri" w:cs="Calibri"/>
        </w:rPr>
        <w:t>whose ethics and legitimacy</w:t>
      </w:r>
      <w:r w:rsidR="0013267C">
        <w:rPr>
          <w:rFonts w:ascii="Calibri" w:hAnsi="Calibri" w:eastAsia="Calibri" w:cs="Calibri"/>
        </w:rPr>
        <w:t xml:space="preserve"> is</w:t>
      </w:r>
      <w:r w:rsidRPr="00D1540F" w:rsidR="004527E2">
        <w:rPr>
          <w:rFonts w:ascii="Calibri" w:hAnsi="Calibri" w:eastAsia="Calibri" w:cs="Calibri"/>
        </w:rPr>
        <w:t>, at the very least, problematic</w:t>
      </w:r>
      <w:r w:rsidRPr="00D1540F" w:rsidR="00835383">
        <w:rPr>
          <w:rFonts w:ascii="Calibri" w:hAnsi="Calibri" w:eastAsia="Calibri" w:cs="Calibri"/>
        </w:rPr>
        <w:t>. So we had the situation where</w:t>
      </w:r>
      <w:r w:rsidRPr="00D1540F" w:rsidR="00EE7447">
        <w:rPr>
          <w:rFonts w:ascii="Calibri" w:hAnsi="Calibri" w:eastAsia="Calibri" w:cs="Calibri"/>
        </w:rPr>
        <w:t xml:space="preserve"> the opposition d</w:t>
      </w:r>
      <w:r w:rsidRPr="00D1540F" w:rsidR="00835383">
        <w:rPr>
          <w:rFonts w:ascii="Calibri" w:hAnsi="Calibri" w:eastAsia="Calibri" w:cs="Calibri"/>
        </w:rPr>
        <w:t>oes</w:t>
      </w:r>
      <w:r w:rsidRPr="00D1540F" w:rsidR="00EE7447">
        <w:rPr>
          <w:rFonts w:ascii="Calibri" w:hAnsi="Calibri" w:eastAsia="Calibri" w:cs="Calibri"/>
        </w:rPr>
        <w:t xml:space="preserve"> not vote for the opposition proposal</w:t>
      </w:r>
      <w:r w:rsidRPr="00D1540F" w:rsidR="004527E2">
        <w:rPr>
          <w:rFonts w:ascii="Calibri" w:hAnsi="Calibri" w:eastAsia="Calibri" w:cs="Calibri"/>
        </w:rPr>
        <w:t>s</w:t>
      </w:r>
      <w:r w:rsidRPr="00D1540F" w:rsidR="00EE7447">
        <w:rPr>
          <w:rFonts w:ascii="Calibri" w:hAnsi="Calibri" w:eastAsia="Calibri" w:cs="Calibri"/>
        </w:rPr>
        <w:t xml:space="preserve"> </w:t>
      </w:r>
      <w:r w:rsidRPr="00D1540F" w:rsidR="00835383">
        <w:rPr>
          <w:rFonts w:ascii="Calibri" w:hAnsi="Calibri" w:eastAsia="Calibri" w:cs="Calibri"/>
        </w:rPr>
        <w:t xml:space="preserve">when it has the majority within </w:t>
      </w:r>
      <w:r w:rsidR="00695E0A">
        <w:rPr>
          <w:rFonts w:ascii="Calibri" w:hAnsi="Calibri" w:eastAsia="Calibri" w:cs="Calibri"/>
        </w:rPr>
        <w:t>the SEC</w:t>
      </w:r>
      <w:r w:rsidRPr="00D1540F" w:rsidR="00EE7447">
        <w:rPr>
          <w:rFonts w:ascii="Calibri" w:hAnsi="Calibri" w:eastAsia="Calibri" w:cs="Calibri"/>
        </w:rPr>
        <w:t>,</w:t>
      </w:r>
      <w:r w:rsidRPr="00D1540F" w:rsidR="004527E2">
        <w:rPr>
          <w:rFonts w:ascii="Calibri" w:hAnsi="Calibri" w:eastAsia="Calibri" w:cs="Calibri"/>
        </w:rPr>
        <w:t xml:space="preserve"> but </w:t>
      </w:r>
      <w:r w:rsidRPr="00D1540F" w:rsidR="00835383">
        <w:rPr>
          <w:rFonts w:ascii="Calibri" w:hAnsi="Calibri" w:eastAsia="Calibri" w:cs="Calibri"/>
        </w:rPr>
        <w:t xml:space="preserve">it </w:t>
      </w:r>
      <w:r w:rsidRPr="00D1540F" w:rsidR="004527E2">
        <w:rPr>
          <w:rFonts w:ascii="Calibri" w:hAnsi="Calibri" w:eastAsia="Calibri" w:cs="Calibri"/>
        </w:rPr>
        <w:t>boycott</w:t>
      </w:r>
      <w:r w:rsidRPr="00D1540F" w:rsidR="00835383">
        <w:rPr>
          <w:rFonts w:ascii="Calibri" w:hAnsi="Calibri" w:eastAsia="Calibri" w:cs="Calibri"/>
        </w:rPr>
        <w:t>s</w:t>
      </w:r>
      <w:r w:rsidRPr="00D1540F" w:rsidR="004527E2">
        <w:rPr>
          <w:rFonts w:ascii="Calibri" w:hAnsi="Calibri" w:eastAsia="Calibri" w:cs="Calibri"/>
        </w:rPr>
        <w:t xml:space="preserve"> the sessions. T</w:t>
      </w:r>
      <w:r w:rsidR="00866763">
        <w:rPr>
          <w:rFonts w:ascii="Calibri" w:hAnsi="Calibri" w:eastAsia="Calibri" w:cs="Calibri"/>
        </w:rPr>
        <w:t>he “</w:t>
      </w:r>
      <w:r w:rsidRPr="00D1540F" w:rsidR="00EE7447">
        <w:rPr>
          <w:rFonts w:ascii="Calibri" w:hAnsi="Calibri" w:eastAsia="Calibri" w:cs="Calibri"/>
        </w:rPr>
        <w:t xml:space="preserve">other </w:t>
      </w:r>
      <w:r w:rsidRPr="00D1540F" w:rsidR="004527E2">
        <w:rPr>
          <w:rFonts w:ascii="Calibri" w:hAnsi="Calibri" w:eastAsia="Calibri" w:cs="Calibri"/>
        </w:rPr>
        <w:t>party</w:t>
      </w:r>
      <w:r w:rsidR="00866763">
        <w:rPr>
          <w:rFonts w:ascii="Calibri" w:hAnsi="Calibri" w:eastAsia="Calibri" w:cs="Calibri"/>
        </w:rPr>
        <w:t>”</w:t>
      </w:r>
      <w:r w:rsidRPr="00D1540F" w:rsidR="00EE7447">
        <w:rPr>
          <w:rFonts w:ascii="Calibri" w:hAnsi="Calibri" w:eastAsia="Calibri" w:cs="Calibri"/>
        </w:rPr>
        <w:t xml:space="preserve"> </w:t>
      </w:r>
      <w:r w:rsidR="00866763">
        <w:rPr>
          <w:rFonts w:ascii="Calibri" w:hAnsi="Calibri" w:eastAsia="Calibri" w:cs="Calibri"/>
        </w:rPr>
        <w:t>responded</w:t>
      </w:r>
      <w:r w:rsidRPr="00D1540F" w:rsidR="00835383">
        <w:rPr>
          <w:rFonts w:ascii="Calibri" w:hAnsi="Calibri" w:eastAsia="Calibri" w:cs="Calibri"/>
        </w:rPr>
        <w:t xml:space="preserve"> to it by introducing the rule </w:t>
      </w:r>
      <w:r w:rsidR="00866763">
        <w:rPr>
          <w:rFonts w:ascii="Calibri" w:hAnsi="Calibri" w:eastAsia="Calibri" w:cs="Calibri"/>
        </w:rPr>
        <w:t>of</w:t>
      </w:r>
      <w:r w:rsidRPr="00D1540F" w:rsidR="00835383">
        <w:rPr>
          <w:rFonts w:ascii="Calibri" w:hAnsi="Calibri" w:eastAsia="Calibri" w:cs="Calibri"/>
        </w:rPr>
        <w:t xml:space="preserve"> decid</w:t>
      </w:r>
      <w:r w:rsidR="00866763">
        <w:rPr>
          <w:rFonts w:ascii="Calibri" w:hAnsi="Calibri" w:eastAsia="Calibri" w:cs="Calibri"/>
        </w:rPr>
        <w:t xml:space="preserve">ing by </w:t>
      </w:r>
      <w:r w:rsidRPr="00D1540F" w:rsidR="00835383">
        <w:rPr>
          <w:rFonts w:ascii="Calibri" w:hAnsi="Calibri" w:eastAsia="Calibri" w:cs="Calibri"/>
        </w:rPr>
        <w:t xml:space="preserve">majority </w:t>
      </w:r>
      <w:r w:rsidR="00B35CC9">
        <w:rPr>
          <w:rFonts w:ascii="Calibri" w:hAnsi="Calibri" w:eastAsia="Calibri" w:cs="Calibri"/>
        </w:rPr>
        <w:t>not</w:t>
      </w:r>
      <w:r w:rsidRPr="00D1540F" w:rsidR="00B35CC9">
        <w:rPr>
          <w:rFonts w:ascii="Calibri" w:hAnsi="Calibri" w:eastAsia="Calibri" w:cs="Calibri"/>
        </w:rPr>
        <w:t xml:space="preserve"> </w:t>
      </w:r>
      <w:r w:rsidRPr="00D1540F" w:rsidR="00835383">
        <w:rPr>
          <w:rFonts w:ascii="Calibri" w:hAnsi="Calibri" w:eastAsia="Calibri" w:cs="Calibri"/>
        </w:rPr>
        <w:t xml:space="preserve">of the extended but </w:t>
      </w:r>
      <w:r w:rsidR="00B35CC9">
        <w:rPr>
          <w:rFonts w:ascii="Calibri" w:hAnsi="Calibri" w:eastAsia="Calibri" w:cs="Calibri"/>
        </w:rPr>
        <w:t>o</w:t>
      </w:r>
      <w:r w:rsidR="00054F65">
        <w:rPr>
          <w:rFonts w:ascii="Calibri" w:hAnsi="Calibri" w:eastAsia="Calibri" w:cs="Calibri"/>
        </w:rPr>
        <w:t xml:space="preserve">f </w:t>
      </w:r>
      <w:r w:rsidRPr="00D1540F" w:rsidR="00835383">
        <w:rPr>
          <w:rFonts w:ascii="Calibri" w:hAnsi="Calibri" w:eastAsia="Calibri" w:cs="Calibri"/>
        </w:rPr>
        <w:t>the standing composition</w:t>
      </w:r>
      <w:r w:rsidRPr="00D1540F" w:rsidR="00EE7447">
        <w:rPr>
          <w:rFonts w:ascii="Calibri" w:hAnsi="Calibri" w:eastAsia="Calibri" w:cs="Calibri"/>
        </w:rPr>
        <w:t xml:space="preserve">, which is contrary to the rules and procedures. </w:t>
      </w:r>
      <w:r w:rsidRPr="00D1540F" w:rsidR="00835383">
        <w:rPr>
          <w:rFonts w:ascii="Calibri" w:hAnsi="Calibri" w:eastAsia="Calibri" w:cs="Calibri"/>
        </w:rPr>
        <w:t>One good</w:t>
      </w:r>
      <w:r w:rsidRPr="00D1540F" w:rsidR="00EE7447">
        <w:rPr>
          <w:rFonts w:ascii="Calibri" w:hAnsi="Calibri" w:eastAsia="Calibri" w:cs="Calibri"/>
        </w:rPr>
        <w:t xml:space="preserve"> example is</w:t>
      </w:r>
      <w:r w:rsidRPr="00D1540F" w:rsidR="00835383">
        <w:rPr>
          <w:rFonts w:ascii="Calibri" w:hAnsi="Calibri" w:eastAsia="Calibri" w:cs="Calibri"/>
        </w:rPr>
        <w:t xml:space="preserve"> also</w:t>
      </w:r>
      <w:r w:rsidRPr="00D1540F" w:rsidR="00EE7447">
        <w:rPr>
          <w:rFonts w:ascii="Calibri" w:hAnsi="Calibri" w:eastAsia="Calibri" w:cs="Calibri"/>
        </w:rPr>
        <w:t xml:space="preserve"> that, instead of filling the </w:t>
      </w:r>
      <w:r w:rsidR="008D2039">
        <w:rPr>
          <w:rFonts w:ascii="Calibri" w:hAnsi="Calibri" w:eastAsia="Calibri" w:cs="Calibri"/>
        </w:rPr>
        <w:t>b</w:t>
      </w:r>
      <w:r w:rsidRPr="008D2039" w:rsidR="008D2039">
        <w:rPr>
          <w:rFonts w:ascii="Calibri" w:hAnsi="Calibri" w:eastAsia="Calibri" w:cs="Calibri"/>
        </w:rPr>
        <w:t xml:space="preserve">ook of electors </w:t>
      </w:r>
      <w:r w:rsidRPr="00D1540F" w:rsidR="00EE7447">
        <w:rPr>
          <w:rFonts w:ascii="Calibri" w:hAnsi="Calibri" w:eastAsia="Calibri" w:cs="Calibri"/>
        </w:rPr>
        <w:t xml:space="preserve">as </w:t>
      </w:r>
      <w:r w:rsidRPr="00D1540F" w:rsidR="00835383">
        <w:rPr>
          <w:rFonts w:ascii="Calibri" w:hAnsi="Calibri" w:eastAsia="Calibri" w:cs="Calibri"/>
        </w:rPr>
        <w:t>prescribed by the law</w:t>
      </w:r>
      <w:r w:rsidRPr="00D1540F" w:rsidR="00EE7447">
        <w:rPr>
          <w:rFonts w:ascii="Calibri" w:hAnsi="Calibri" w:eastAsia="Calibri" w:cs="Calibri"/>
        </w:rPr>
        <w:t xml:space="preserve">, </w:t>
      </w:r>
      <w:r w:rsidRPr="00D1540F" w:rsidR="004527E2">
        <w:rPr>
          <w:rFonts w:ascii="Calibri" w:hAnsi="Calibri" w:eastAsia="Calibri" w:cs="Calibri"/>
        </w:rPr>
        <w:t>the SEC</w:t>
      </w:r>
      <w:r w:rsidR="008D2039">
        <w:rPr>
          <w:rFonts w:ascii="Calibri" w:hAnsi="Calibri" w:eastAsia="Calibri" w:cs="Calibri"/>
        </w:rPr>
        <w:t xml:space="preserve"> accepted</w:t>
      </w:r>
      <w:r w:rsidRPr="00D1540F" w:rsidR="00EE7447">
        <w:rPr>
          <w:rFonts w:ascii="Calibri" w:hAnsi="Calibri" w:eastAsia="Calibri" w:cs="Calibri"/>
        </w:rPr>
        <w:t xml:space="preserve"> </w:t>
      </w:r>
      <w:r w:rsidRPr="00D1540F" w:rsidR="00835383">
        <w:rPr>
          <w:rFonts w:ascii="Calibri" w:hAnsi="Calibri" w:eastAsia="Calibri" w:cs="Calibri"/>
        </w:rPr>
        <w:t xml:space="preserve">statements of notaries </w:t>
      </w:r>
      <w:r w:rsidRPr="00D1540F" w:rsidR="00EE7447">
        <w:rPr>
          <w:rFonts w:ascii="Calibri" w:hAnsi="Calibri" w:eastAsia="Calibri" w:cs="Calibri"/>
        </w:rPr>
        <w:t>that voters vo</w:t>
      </w:r>
      <w:r w:rsidR="008D2039">
        <w:rPr>
          <w:rFonts w:ascii="Calibri" w:hAnsi="Calibri" w:eastAsia="Calibri" w:cs="Calibri"/>
        </w:rPr>
        <w:t>ted, although their signatures we</w:t>
      </w:r>
      <w:r w:rsidRPr="00D1540F" w:rsidR="00EE7447">
        <w:rPr>
          <w:rFonts w:ascii="Calibri" w:hAnsi="Calibri" w:eastAsia="Calibri" w:cs="Calibri"/>
        </w:rPr>
        <w:t xml:space="preserve">re not in the only valid document that is filled </w:t>
      </w:r>
      <w:r w:rsidRPr="00D1540F" w:rsidR="00835383">
        <w:rPr>
          <w:rFonts w:ascii="Calibri" w:hAnsi="Calibri" w:eastAsia="Calibri" w:cs="Calibri"/>
        </w:rPr>
        <w:t>at</w:t>
      </w:r>
      <w:r w:rsidRPr="00D1540F" w:rsidR="00EE7447">
        <w:rPr>
          <w:rFonts w:ascii="Calibri" w:hAnsi="Calibri" w:eastAsia="Calibri" w:cs="Calibri"/>
        </w:rPr>
        <w:t xml:space="preserve"> the polling station.</w:t>
      </w:r>
    </w:p>
    <w:p w:rsidRPr="00D1540F" w:rsidR="00683923" w:rsidP="00683923" w:rsidRDefault="00683923" w14:paraId="5FC026ED" w14:textId="19A67E58">
      <w:pPr>
        <w:jc w:val="both"/>
        <w:rPr>
          <w:rFonts w:ascii="Calibri" w:hAnsi="Calibri" w:eastAsia="Calibri" w:cs="Calibri"/>
        </w:rPr>
      </w:pPr>
      <w:r w:rsidRPr="00D1540F">
        <w:rPr>
          <w:rFonts w:ascii="Calibri" w:hAnsi="Calibri" w:eastAsia="Calibri" w:cs="Calibri"/>
        </w:rPr>
        <w:t xml:space="preserve">With this document, we wanted to </w:t>
      </w:r>
      <w:r w:rsidR="008D2039">
        <w:rPr>
          <w:rFonts w:ascii="Calibri" w:hAnsi="Calibri" w:eastAsia="Calibri" w:cs="Calibri"/>
        </w:rPr>
        <w:t>continue our</w:t>
      </w:r>
      <w:r w:rsidRPr="00D1540F">
        <w:rPr>
          <w:rFonts w:ascii="Calibri" w:hAnsi="Calibri" w:eastAsia="Calibri" w:cs="Calibri"/>
        </w:rPr>
        <w:t xml:space="preserve"> efforts </w:t>
      </w:r>
      <w:r w:rsidR="008D2039">
        <w:rPr>
          <w:rFonts w:ascii="Calibri" w:hAnsi="Calibri" w:eastAsia="Calibri" w:cs="Calibri"/>
        </w:rPr>
        <w:t>in</w:t>
      </w:r>
      <w:r w:rsidRPr="00D1540F">
        <w:rPr>
          <w:rFonts w:ascii="Calibri" w:hAnsi="Calibri" w:eastAsia="Calibri" w:cs="Calibri"/>
        </w:rPr>
        <w:t xml:space="preserve"> creat</w:t>
      </w:r>
      <w:r w:rsidR="008D2039">
        <w:rPr>
          <w:rFonts w:ascii="Calibri" w:hAnsi="Calibri" w:eastAsia="Calibri" w:cs="Calibri"/>
        </w:rPr>
        <w:t>ing</w:t>
      </w:r>
      <w:r w:rsidRPr="00D1540F">
        <w:rPr>
          <w:rFonts w:ascii="Calibri" w:hAnsi="Calibri" w:eastAsia="Calibri" w:cs="Calibri"/>
        </w:rPr>
        <w:t xml:space="preserve"> an independent and professional electoral administration, by providing a precise roadmap and solutions for the necessary and urgent changes.</w:t>
      </w:r>
    </w:p>
    <w:p w:rsidRPr="00D1540F" w:rsidR="00683923" w:rsidP="00683923" w:rsidRDefault="00683923" w14:paraId="03BEFF61" w14:textId="62695F3F">
      <w:pPr>
        <w:jc w:val="both"/>
        <w:rPr>
          <w:rFonts w:ascii="Calibri" w:hAnsi="Calibri" w:eastAsia="Calibri" w:cs="Calibri"/>
        </w:rPr>
      </w:pPr>
      <w:r w:rsidRPr="00D1540F">
        <w:rPr>
          <w:rFonts w:ascii="Calibri" w:hAnsi="Calibri" w:eastAsia="Calibri" w:cs="Calibri"/>
        </w:rPr>
        <w:t>For the purpo</w:t>
      </w:r>
      <w:r w:rsidR="00866763">
        <w:rPr>
          <w:rFonts w:ascii="Calibri" w:hAnsi="Calibri" w:eastAsia="Calibri" w:cs="Calibri"/>
        </w:rPr>
        <w:t>se of an objective assessment</w:t>
      </w:r>
      <w:r w:rsidRPr="00D1540F" w:rsidR="004527E2">
        <w:rPr>
          <w:rFonts w:ascii="Calibri" w:hAnsi="Calibri" w:eastAsia="Calibri" w:cs="Calibri"/>
        </w:rPr>
        <w:t xml:space="preserve"> of</w:t>
      </w:r>
      <w:r w:rsidRPr="00D1540F">
        <w:rPr>
          <w:rFonts w:ascii="Calibri" w:hAnsi="Calibri" w:eastAsia="Calibri" w:cs="Calibri"/>
        </w:rPr>
        <w:t xml:space="preserve"> </w:t>
      </w:r>
      <w:r w:rsidRPr="00D1540F" w:rsidR="004527E2">
        <w:rPr>
          <w:rFonts w:ascii="Calibri" w:hAnsi="Calibri" w:eastAsia="Calibri" w:cs="Calibri"/>
        </w:rPr>
        <w:t>the SEC</w:t>
      </w:r>
      <w:r w:rsidR="001F527E">
        <w:rPr>
          <w:rFonts w:ascii="Calibri" w:hAnsi="Calibri" w:eastAsia="Calibri" w:cs="Calibri"/>
        </w:rPr>
        <w:t>’s</w:t>
      </w:r>
      <w:r w:rsidRPr="001F527E" w:rsidR="001F527E">
        <w:rPr>
          <w:rFonts w:ascii="Calibri" w:hAnsi="Calibri" w:eastAsia="Calibri" w:cs="Calibri"/>
        </w:rPr>
        <w:t xml:space="preserve"> </w:t>
      </w:r>
      <w:r w:rsidRPr="00D1540F" w:rsidR="001F527E">
        <w:rPr>
          <w:rFonts w:ascii="Calibri" w:hAnsi="Calibri" w:eastAsia="Calibri" w:cs="Calibri"/>
        </w:rPr>
        <w:t>work</w:t>
      </w:r>
      <w:r w:rsidRPr="00D1540F">
        <w:rPr>
          <w:rFonts w:ascii="Calibri" w:hAnsi="Calibri" w:eastAsia="Calibri" w:cs="Calibri"/>
        </w:rPr>
        <w:t>, all the relevant segments were analyzed through 36 criteria based on international standards.</w:t>
      </w:r>
    </w:p>
    <w:p w:rsidRPr="00D1540F" w:rsidR="004527E2" w:rsidP="004527E2" w:rsidRDefault="004527E2" w14:paraId="5F5B3C10" w14:textId="1884A33E">
      <w:pPr>
        <w:jc w:val="both"/>
        <w:rPr>
          <w:rFonts w:ascii="Calibri" w:hAnsi="Calibri" w:eastAsia="Calibri" w:cs="Calibri"/>
        </w:rPr>
      </w:pPr>
      <w:r w:rsidRPr="00D1540F">
        <w:rPr>
          <w:rFonts w:ascii="Calibri" w:hAnsi="Calibri" w:eastAsia="Calibri" w:cs="Calibri"/>
        </w:rPr>
        <w:t>The fact that the SEC fulfills just over a third of the set parameters tells us that we must finally start a dialogue</w:t>
      </w:r>
      <w:r w:rsidRPr="00BD3B05" w:rsidR="00BD3B05">
        <w:rPr>
          <w:rFonts w:ascii="Calibri" w:hAnsi="Calibri" w:eastAsia="Calibri" w:cs="Calibri"/>
        </w:rPr>
        <w:t xml:space="preserve"> </w:t>
      </w:r>
      <w:r w:rsidRPr="00D1540F" w:rsidR="00BD3B05">
        <w:rPr>
          <w:rFonts w:ascii="Calibri" w:hAnsi="Calibri" w:eastAsia="Calibri" w:cs="Calibri"/>
        </w:rPr>
        <w:t>in this area</w:t>
      </w:r>
      <w:r w:rsidRPr="00D1540F">
        <w:rPr>
          <w:rFonts w:ascii="Calibri" w:hAnsi="Calibri" w:eastAsia="Calibri" w:cs="Calibri"/>
        </w:rPr>
        <w:t xml:space="preserve">, and </w:t>
      </w:r>
      <w:r w:rsidR="00866763">
        <w:rPr>
          <w:rFonts w:ascii="Calibri" w:hAnsi="Calibri" w:eastAsia="Calibri" w:cs="Calibri"/>
        </w:rPr>
        <w:t>put</w:t>
      </w:r>
      <w:r w:rsidRPr="00D1540F">
        <w:rPr>
          <w:rFonts w:ascii="Calibri" w:hAnsi="Calibri" w:eastAsia="Calibri" w:cs="Calibri"/>
        </w:rPr>
        <w:t xml:space="preserve"> a considerable effort to pass the </w:t>
      </w:r>
      <w:r w:rsidR="00866763">
        <w:rPr>
          <w:rFonts w:ascii="Calibri" w:hAnsi="Calibri" w:eastAsia="Calibri" w:cs="Calibri"/>
        </w:rPr>
        <w:t>Law</w:t>
      </w:r>
      <w:r w:rsidRPr="0013267C" w:rsidR="0013267C">
        <w:rPr>
          <w:rFonts w:ascii="Calibri" w:hAnsi="Calibri" w:eastAsia="Calibri" w:cs="Calibri"/>
        </w:rPr>
        <w:t xml:space="preserve"> </w:t>
      </w:r>
      <w:r w:rsidR="0013267C">
        <w:rPr>
          <w:rFonts w:ascii="Calibri" w:hAnsi="Calibri" w:eastAsia="Calibri" w:cs="Calibri"/>
        </w:rPr>
        <w:t xml:space="preserve">on </w:t>
      </w:r>
      <w:r w:rsidRPr="00D1540F" w:rsidR="0013267C">
        <w:rPr>
          <w:rFonts w:ascii="Calibri" w:hAnsi="Calibri" w:eastAsia="Calibri" w:cs="Calibri"/>
        </w:rPr>
        <w:t>Election A</w:t>
      </w:r>
      <w:r w:rsidR="0013267C">
        <w:rPr>
          <w:rFonts w:ascii="Calibri" w:hAnsi="Calibri" w:eastAsia="Calibri" w:cs="Calibri"/>
        </w:rPr>
        <w:t>dministration</w:t>
      </w:r>
      <w:r w:rsidR="00866763">
        <w:rPr>
          <w:rFonts w:ascii="Calibri" w:hAnsi="Calibri" w:eastAsia="Calibri" w:cs="Calibri"/>
        </w:rPr>
        <w:t>, i.e. build</w:t>
      </w:r>
      <w:r w:rsidRPr="00D1540F">
        <w:rPr>
          <w:rFonts w:ascii="Calibri" w:hAnsi="Calibri" w:eastAsia="Calibri" w:cs="Calibri"/>
        </w:rPr>
        <w:t xml:space="preserve"> an efficient, independent, transparent and professional institution.</w:t>
      </w:r>
    </w:p>
    <w:p w:rsidRPr="00D1540F" w:rsidR="004527E2" w:rsidP="004527E2" w:rsidRDefault="004527E2" w14:paraId="4A1C2799" w14:textId="1133B59D">
      <w:pPr>
        <w:jc w:val="both"/>
        <w:rPr>
          <w:rFonts w:ascii="Calibri" w:hAnsi="Calibri" w:eastAsia="Calibri" w:cs="Calibri"/>
        </w:rPr>
      </w:pPr>
      <w:r w:rsidRPr="00D1540F">
        <w:rPr>
          <w:rFonts w:ascii="Calibri" w:hAnsi="Calibri" w:eastAsia="Calibri" w:cs="Calibri"/>
        </w:rPr>
        <w:t xml:space="preserve">Below </w:t>
      </w:r>
      <w:r w:rsidR="00BD3B05">
        <w:rPr>
          <w:rFonts w:ascii="Calibri" w:hAnsi="Calibri" w:eastAsia="Calibri" w:cs="Calibri"/>
        </w:rPr>
        <w:t>is</w:t>
      </w:r>
      <w:r w:rsidR="001F527E">
        <w:rPr>
          <w:rFonts w:ascii="Calibri" w:hAnsi="Calibri" w:eastAsia="Calibri" w:cs="Calibri"/>
        </w:rPr>
        <w:t xml:space="preserve"> the assessment of the</w:t>
      </w:r>
      <w:r w:rsidRPr="00D1540F">
        <w:rPr>
          <w:rFonts w:ascii="Calibri" w:hAnsi="Calibri" w:eastAsia="Calibri" w:cs="Calibri"/>
        </w:rPr>
        <w:t xml:space="preserve"> work</w:t>
      </w:r>
      <w:r w:rsidR="001F527E">
        <w:rPr>
          <w:rFonts w:ascii="Calibri" w:hAnsi="Calibri" w:eastAsia="Calibri" w:cs="Calibri"/>
        </w:rPr>
        <w:t xml:space="preserve"> of the SEC</w:t>
      </w:r>
      <w:r w:rsidRPr="00D1540F">
        <w:rPr>
          <w:rFonts w:ascii="Calibri" w:hAnsi="Calibri" w:eastAsia="Calibri" w:cs="Calibri"/>
        </w:rPr>
        <w:t xml:space="preserve"> on the basis of 36 parameters with relevant</w:t>
      </w:r>
      <w:r w:rsidR="001F527E">
        <w:rPr>
          <w:rFonts w:ascii="Calibri" w:hAnsi="Calibri" w:eastAsia="Calibri" w:cs="Calibri"/>
        </w:rPr>
        <w:t xml:space="preserve"> ratings and explanations, </w:t>
      </w:r>
      <w:r w:rsidRPr="00BD3B05" w:rsidR="00BD3B05">
        <w:rPr>
          <w:rFonts w:ascii="Calibri" w:hAnsi="Calibri" w:eastAsia="Calibri" w:cs="Calibri"/>
        </w:rPr>
        <w:t>followed by</w:t>
      </w:r>
      <w:r w:rsidR="00BD3B05">
        <w:rPr>
          <w:rFonts w:ascii="Calibri" w:hAnsi="Calibri" w:eastAsia="Calibri" w:cs="Calibri"/>
        </w:rPr>
        <w:t xml:space="preserve"> a “roadmap”</w:t>
      </w:r>
      <w:r w:rsidRPr="00D1540F">
        <w:rPr>
          <w:rFonts w:ascii="Calibri" w:hAnsi="Calibri" w:eastAsia="Calibri" w:cs="Calibri"/>
        </w:rPr>
        <w:t xml:space="preserve"> for changing the current state.</w:t>
      </w:r>
    </w:p>
    <w:p w:rsidR="00795605" w:rsidP="0414E11B" w:rsidRDefault="00795605" w14:paraId="19192AF0" w14:noSpellErr="1" w14:textId="62D43DCD">
      <w:pPr>
        <w:jc w:val="both"/>
        <w:rPr>
          <w:rFonts w:ascii="Calibri" w:hAnsi="Calibri" w:eastAsia="Calibri" w:cs="Calibri"/>
        </w:rPr>
      </w:pPr>
      <w:r w:rsidRPr="0414E11B" w:rsidR="0414E11B">
        <w:rPr>
          <w:rFonts w:ascii="Calibri" w:hAnsi="Calibri" w:eastAsia="Calibri" w:cs="Calibri"/>
        </w:rPr>
        <w:t>We remain open to all well-intentioned criticism, suggestions and exchanges of opinions both on this document and on the topic of the quality of work of the election administration.</w:t>
      </w:r>
    </w:p>
    <w:p w:rsidRPr="00D1540F" w:rsidR="4EE24F47" w:rsidP="2B108C12" w:rsidRDefault="00EE7447" w14:paraId="243214A9" w14:textId="3126191E">
      <w:pPr>
        <w:jc w:val="both"/>
        <w:rPr>
          <w:rFonts w:ascii="Calibri" w:hAnsi="Calibri" w:eastAsia="Calibri" w:cs="Calibri"/>
          <w:b/>
          <w:bCs/>
        </w:rPr>
      </w:pPr>
      <w:r w:rsidRPr="0414E11B" w:rsidR="0414E11B">
        <w:rPr>
          <w:rFonts w:ascii="Calibri" w:hAnsi="Calibri" w:eastAsia="Calibri" w:cs="Calibri"/>
          <w:b w:val="1"/>
          <w:bCs w:val="1"/>
        </w:rPr>
        <w:t>CDT TEA</w:t>
      </w:r>
      <w:r w:rsidRPr="0414E11B" w:rsidR="0414E11B">
        <w:rPr>
          <w:rFonts w:ascii="Calibri" w:hAnsi="Calibri" w:eastAsia="Calibri" w:cs="Calibri"/>
          <w:b w:val="1"/>
          <w:bCs w:val="1"/>
        </w:rPr>
        <w:t>M</w:t>
      </w:r>
    </w:p>
    <w:p w:rsidR="0414E11B" w:rsidP="0414E11B" w:rsidRDefault="0414E11B" w14:noSpellErr="1" w14:paraId="761042A2" w14:textId="5B31EF6A">
      <w:pPr>
        <w:pStyle w:val="Normal"/>
        <w:jc w:val="both"/>
        <w:rPr>
          <w:rFonts w:ascii="Calibri" w:hAnsi="Calibri" w:eastAsia="Calibri" w:cs="Calibri"/>
          <w:b w:val="1"/>
          <w:bCs w:val="1"/>
        </w:rPr>
      </w:pPr>
    </w:p>
    <w:p w:rsidR="0414E11B" w:rsidP="0414E11B" w:rsidRDefault="0414E11B" w14:noSpellErr="1" w14:paraId="1B27AECE" w14:textId="4FCC8042">
      <w:pPr>
        <w:pStyle w:val="Normal"/>
        <w:jc w:val="both"/>
        <w:rPr>
          <w:rFonts w:ascii="Calibri" w:hAnsi="Calibri" w:eastAsia="Calibri" w:cs="Calibri"/>
          <w:b w:val="1"/>
          <w:bCs w:val="1"/>
        </w:rPr>
      </w:pPr>
    </w:p>
    <w:p w:rsidRPr="00D1540F" w:rsidR="00D14EC8" w:rsidP="680B5AD3" w:rsidRDefault="00D14EC8" w14:paraId="12325F53" w14:textId="77777777">
      <w:pPr>
        <w:jc w:val="both"/>
        <w:rPr>
          <w:b/>
          <w:bCs/>
          <w:sz w:val="26"/>
          <w:szCs w:val="26"/>
        </w:rPr>
      </w:pPr>
      <w:r w:rsidRPr="00D1540F">
        <w:rPr>
          <w:b/>
          <w:bCs/>
          <w:sz w:val="26"/>
          <w:szCs w:val="26"/>
        </w:rPr>
        <w:t>36% integrity - need for urgent action</w:t>
      </w:r>
    </w:p>
    <w:p w:rsidRPr="00D1540F" w:rsidR="00683923" w:rsidP="00683923" w:rsidRDefault="00683923" w14:paraId="752E0334" w14:textId="31504556">
      <w:pPr>
        <w:jc w:val="both"/>
      </w:pPr>
      <w:r w:rsidRPr="00D1540F">
        <w:t xml:space="preserve">CDT monitored and analyzed the work of </w:t>
      </w:r>
      <w:r w:rsidRPr="00D1540F" w:rsidR="00D14EC8">
        <w:t xml:space="preserve">the SEC </w:t>
      </w:r>
      <w:r w:rsidRPr="00D1540F">
        <w:t>in the last two national election cycles, through its election monitorin</w:t>
      </w:r>
      <w:r w:rsidRPr="00D1540F" w:rsidR="00D14EC8">
        <w:t xml:space="preserve">g projects, and based on </w:t>
      </w:r>
      <w:r w:rsidR="00016A92">
        <w:t xml:space="preserve">the </w:t>
      </w:r>
      <w:r w:rsidRPr="00D1540F" w:rsidR="00D14EC8">
        <w:t xml:space="preserve">36 </w:t>
      </w:r>
      <w:r w:rsidRPr="00D1540F">
        <w:t xml:space="preserve">assessment indicators grouped into four areas: independence, </w:t>
      </w:r>
      <w:r w:rsidRPr="001F527E">
        <w:t>capacity, information and</w:t>
      </w:r>
      <w:r w:rsidRPr="00D1540F">
        <w:t xml:space="preserve"> transparency.</w:t>
      </w:r>
    </w:p>
    <w:p w:rsidRPr="00D1540F" w:rsidR="00683923" w:rsidP="00683923" w:rsidRDefault="00016A92" w14:paraId="6F2EA162" w14:textId="268A3149">
      <w:pPr>
        <w:jc w:val="both"/>
      </w:pPr>
      <w:r>
        <w:t>The i</w:t>
      </w:r>
      <w:r w:rsidRPr="00D1540F" w:rsidR="00683923">
        <w:t xml:space="preserve">ndicators are defined on the basis of the methodology used to produce the report </w:t>
      </w:r>
      <w:r w:rsidR="005564B1">
        <w:t>for the</w:t>
      </w:r>
      <w:r w:rsidRPr="00D1540F" w:rsidR="00683923">
        <w:t xml:space="preserve"> Election Integrity Project - Building a Professional Election Management</w:t>
      </w:r>
      <w:r w:rsidRPr="00D1540F" w:rsidR="00D14EC8">
        <w:rPr>
          <w:rStyle w:val="FootnoteReference"/>
        </w:rPr>
        <w:footnoteReference w:id="1"/>
      </w:r>
      <w:r w:rsidRPr="00D1540F" w:rsidR="00D14EC8">
        <w:t>,</w:t>
      </w:r>
      <w:r w:rsidRPr="00D1540F" w:rsidR="00683923">
        <w:t xml:space="preserve"> and adapted to the Montenegrin electoral system and context. Each of the indicators was rated by a five - point scale, where the worst </w:t>
      </w:r>
      <w:r w:rsidRPr="00D1540F" w:rsidR="00EC2B2F">
        <w:t>rating</w:t>
      </w:r>
      <w:r w:rsidRPr="00D1540F" w:rsidR="00683923">
        <w:t xml:space="preserve"> is 0, and the best 1.</w:t>
      </w:r>
    </w:p>
    <w:p w:rsidRPr="00D1540F" w:rsidR="00D14EC8" w:rsidP="0524E42C" w:rsidRDefault="00D14EC8" w14:paraId="00330950" w14:textId="12510007">
      <w:pPr>
        <w:jc w:val="both"/>
        <w:rPr>
          <w:b/>
          <w:bCs/>
        </w:rPr>
      </w:pPr>
      <w:r w:rsidRPr="00D1540F">
        <w:rPr>
          <w:b/>
          <w:bCs/>
        </w:rPr>
        <w:t xml:space="preserve">Independence that does not exist - only 21.4% </w:t>
      </w:r>
      <w:r w:rsidRPr="005425FB" w:rsidR="005425FB">
        <w:rPr>
          <w:b/>
          <w:bCs/>
        </w:rPr>
        <w:t>of the set parameters met</w:t>
      </w:r>
    </w:p>
    <w:p w:rsidRPr="00D1540F" w:rsidR="00683923" w:rsidP="00683923" w:rsidRDefault="00683923" w14:paraId="6C9336B6" w14:textId="07FB1413">
      <w:pPr>
        <w:jc w:val="both"/>
        <w:rPr>
          <w:i/>
          <w:iCs/>
        </w:rPr>
      </w:pPr>
      <w:r w:rsidRPr="00D1540F">
        <w:rPr>
          <w:i/>
          <w:iCs/>
        </w:rPr>
        <w:t>The State Election Commission (</w:t>
      </w:r>
      <w:r w:rsidRPr="00D1540F" w:rsidR="00D14EC8">
        <w:rPr>
          <w:i/>
          <w:iCs/>
        </w:rPr>
        <w:t>SEC</w:t>
      </w:r>
      <w:r w:rsidRPr="00D1540F">
        <w:rPr>
          <w:i/>
          <w:iCs/>
        </w:rPr>
        <w:t>) is not independent - neither from political parties, nor from executive and legislative authorities. Most of its members are nominated at the</w:t>
      </w:r>
      <w:r w:rsidR="00191DA3">
        <w:rPr>
          <w:i/>
          <w:iCs/>
        </w:rPr>
        <w:t xml:space="preserve"> proposal of</w:t>
      </w:r>
      <w:r w:rsidRPr="00D1540F">
        <w:rPr>
          <w:i/>
          <w:iCs/>
        </w:rPr>
        <w:t xml:space="preserve"> political parties after each election, and </w:t>
      </w:r>
      <w:r w:rsidR="00D90AD8">
        <w:rPr>
          <w:i/>
          <w:iCs/>
        </w:rPr>
        <w:t xml:space="preserve">its members are also </w:t>
      </w:r>
      <w:r w:rsidRPr="00D1540F">
        <w:rPr>
          <w:i/>
          <w:iCs/>
        </w:rPr>
        <w:t xml:space="preserve">senior officials of the Government and the </w:t>
      </w:r>
      <w:r w:rsidRPr="00D1540F" w:rsidR="00D14EC8">
        <w:rPr>
          <w:i/>
          <w:iCs/>
        </w:rPr>
        <w:t xml:space="preserve">Parliament </w:t>
      </w:r>
      <w:r w:rsidRPr="00D1540F">
        <w:rPr>
          <w:i/>
          <w:iCs/>
        </w:rPr>
        <w:t>of Montenegro. Criteria and pr</w:t>
      </w:r>
      <w:r w:rsidR="00191DA3">
        <w:rPr>
          <w:i/>
          <w:iCs/>
        </w:rPr>
        <w:t>ocedures for</w:t>
      </w:r>
      <w:r w:rsidRPr="00D1540F" w:rsidR="00C6146F">
        <w:rPr>
          <w:i/>
          <w:iCs/>
        </w:rPr>
        <w:t xml:space="preserve"> election of</w:t>
      </w:r>
      <w:r w:rsidR="00191DA3">
        <w:rPr>
          <w:i/>
          <w:iCs/>
        </w:rPr>
        <w:t xml:space="preserve"> the</w:t>
      </w:r>
      <w:r w:rsidRPr="00D1540F" w:rsidR="00C6146F">
        <w:rPr>
          <w:i/>
          <w:iCs/>
        </w:rPr>
        <w:t xml:space="preserve"> SEC</w:t>
      </w:r>
      <w:r w:rsidRPr="00D1540F">
        <w:rPr>
          <w:i/>
          <w:iCs/>
        </w:rPr>
        <w:t xml:space="preserve"> </w:t>
      </w:r>
      <w:r w:rsidR="001F527E">
        <w:rPr>
          <w:i/>
          <w:iCs/>
        </w:rPr>
        <w:t>chairperson</w:t>
      </w:r>
      <w:r w:rsidRPr="00D1540F">
        <w:rPr>
          <w:i/>
          <w:iCs/>
        </w:rPr>
        <w:t xml:space="preserve"> </w:t>
      </w:r>
      <w:r w:rsidR="00191DA3">
        <w:rPr>
          <w:i/>
          <w:iCs/>
        </w:rPr>
        <w:t>do not provide guarantees of</w:t>
      </w:r>
      <w:r w:rsidRPr="00D1540F">
        <w:rPr>
          <w:i/>
          <w:iCs/>
        </w:rPr>
        <w:t xml:space="preserve"> expertise and political impartiality of the elected person. The manner of election, te</w:t>
      </w:r>
      <w:r w:rsidRPr="00D1540F" w:rsidR="00C6146F">
        <w:rPr>
          <w:i/>
          <w:iCs/>
        </w:rPr>
        <w:t>rm of office, and dismissal do</w:t>
      </w:r>
      <w:r w:rsidR="00191DA3">
        <w:rPr>
          <w:i/>
          <w:iCs/>
        </w:rPr>
        <w:t xml:space="preserve"> not guarantee </w:t>
      </w:r>
      <w:r w:rsidRPr="00D1540F" w:rsidR="00C6146F">
        <w:rPr>
          <w:i/>
          <w:iCs/>
        </w:rPr>
        <w:t xml:space="preserve">durability and stability </w:t>
      </w:r>
      <w:r w:rsidRPr="00D1540F">
        <w:rPr>
          <w:i/>
          <w:iCs/>
        </w:rPr>
        <w:t>of this institution, nor protect i</w:t>
      </w:r>
      <w:r w:rsidRPr="00D1540F" w:rsidR="00C6146F">
        <w:rPr>
          <w:i/>
          <w:iCs/>
        </w:rPr>
        <w:t>ts members from arbitrary dismissal</w:t>
      </w:r>
      <w:r w:rsidRPr="00D1540F">
        <w:rPr>
          <w:i/>
          <w:iCs/>
        </w:rPr>
        <w:t xml:space="preserve">. This </w:t>
      </w:r>
      <w:r w:rsidRPr="00D1540F" w:rsidR="00C6146F">
        <w:rPr>
          <w:i/>
          <w:iCs/>
        </w:rPr>
        <w:t>SEC</w:t>
      </w:r>
      <w:r w:rsidRPr="00D1540F">
        <w:rPr>
          <w:i/>
          <w:iCs/>
        </w:rPr>
        <w:t xml:space="preserve"> is an institution that is completely politically controlled.</w:t>
      </w:r>
    </w:p>
    <w:p w:rsidRPr="00D1540F" w:rsidR="00683923" w:rsidP="00683923" w:rsidRDefault="00C6146F" w14:paraId="1781A7B9" w14:textId="54396A92">
      <w:pPr>
        <w:jc w:val="both"/>
        <w:rPr>
          <w:i/>
          <w:iCs/>
        </w:rPr>
      </w:pPr>
      <w:r w:rsidRPr="00D1540F">
        <w:rPr>
          <w:i/>
          <w:iCs/>
        </w:rPr>
        <w:t>Is the SEC</w:t>
      </w:r>
      <w:r w:rsidRPr="00D1540F" w:rsidR="00683923">
        <w:rPr>
          <w:i/>
          <w:iCs/>
        </w:rPr>
        <w:t xml:space="preserve"> completely independent </w:t>
      </w:r>
      <w:r w:rsidR="006228C1">
        <w:rPr>
          <w:i/>
          <w:iCs/>
        </w:rPr>
        <w:t>of</w:t>
      </w:r>
      <w:r w:rsidRPr="00D1540F" w:rsidR="00683923">
        <w:rPr>
          <w:i/>
          <w:iCs/>
        </w:rPr>
        <w:t xml:space="preserve"> the Government?</w:t>
      </w:r>
    </w:p>
    <w:p w:rsidRPr="00D1540F" w:rsidR="00683923" w:rsidP="00683923" w:rsidRDefault="00683923" w14:paraId="3A652755" w14:textId="36EB2E5E">
      <w:pPr>
        <w:jc w:val="both"/>
      </w:pPr>
      <w:r w:rsidRPr="00D1540F">
        <w:t xml:space="preserve">Fulfillment of this indicator </w:t>
      </w:r>
      <w:r w:rsidR="001F527E">
        <w:t>was estimated at</w:t>
      </w:r>
      <w:r w:rsidRPr="00D1540F">
        <w:t xml:space="preserve"> 0.25</w:t>
      </w:r>
      <w:r w:rsidR="0033766B">
        <w:t>,</w:t>
      </w:r>
      <w:r w:rsidRPr="00D1540F">
        <w:t xml:space="preserve"> because there is no limitation for </w:t>
      </w:r>
      <w:r w:rsidRPr="00D1540F" w:rsidR="00C6146F">
        <w:t>SEC</w:t>
      </w:r>
      <w:r w:rsidRPr="00D1540F">
        <w:t xml:space="preserve"> members to </w:t>
      </w:r>
      <w:r w:rsidRPr="00D1540F" w:rsidR="00C6146F">
        <w:t>be prominent</w:t>
      </w:r>
      <w:r w:rsidRPr="00D1540F">
        <w:t xml:space="preserve"> Government and other officials, as is the case in practice.</w:t>
      </w:r>
    </w:p>
    <w:p w:rsidRPr="00D1540F" w:rsidR="00683923" w:rsidP="00683923" w:rsidRDefault="00683923" w14:paraId="55A2AE63" w14:textId="6623EE30">
      <w:pPr>
        <w:jc w:val="both"/>
      </w:pPr>
      <w:r w:rsidRPr="00D1540F">
        <w:t xml:space="preserve">Montenegro, at the principle level, has opted for </w:t>
      </w:r>
      <w:r w:rsidRPr="00D1540F" w:rsidR="00C6146F">
        <w:t xml:space="preserve">the </w:t>
      </w:r>
      <w:r w:rsidR="006228C1">
        <w:t>so-called “</w:t>
      </w:r>
      <w:r w:rsidRPr="00D1540F">
        <w:t>independent election administration model</w:t>
      </w:r>
      <w:r w:rsidR="006228C1">
        <w:t xml:space="preserve">”, which implies that </w:t>
      </w:r>
      <w:r w:rsidRPr="00D1540F">
        <w:t>electoral administration is autonomous and independent of the executive</w:t>
      </w:r>
      <w:r w:rsidRPr="00D1540F" w:rsidR="00C47188">
        <w:t xml:space="preserve"> power</w:t>
      </w:r>
      <w:r w:rsidRPr="00D1540F">
        <w:t>, and that its members are not representatives of the executive</w:t>
      </w:r>
      <w:r w:rsidRPr="00D1540F" w:rsidR="00C47188">
        <w:t xml:space="preserve"> power</w:t>
      </w:r>
      <w:r w:rsidRPr="00D1540F">
        <w:t>, but come from the ranks of political representatives and experts.</w:t>
      </w:r>
    </w:p>
    <w:p w:rsidRPr="00D1540F" w:rsidR="00683923" w:rsidP="00683923" w:rsidRDefault="00683923" w14:paraId="6E5659D3" w14:textId="680ADCC2">
      <w:pPr>
        <w:jc w:val="both"/>
      </w:pPr>
      <w:r w:rsidRPr="00D1540F">
        <w:t xml:space="preserve">However, this model is not being implemented in practice because political parties have no restrictions </w:t>
      </w:r>
      <w:r w:rsidR="001426A2">
        <w:t>when</w:t>
      </w:r>
      <w:r w:rsidRPr="00D1540F" w:rsidR="00C47188">
        <w:t xml:space="preserve"> proposing</w:t>
      </w:r>
      <w:r w:rsidRPr="00D1540F">
        <w:t xml:space="preserve"> their representatives, except that they </w:t>
      </w:r>
      <w:r w:rsidR="0033766B">
        <w:t>have to</w:t>
      </w:r>
      <w:r w:rsidRPr="00D1540F">
        <w:t xml:space="preserve"> be graduated lawyers. This has led to </w:t>
      </w:r>
      <w:r w:rsidRPr="00D1540F" w:rsidR="00C47188">
        <w:t>the SEC</w:t>
      </w:r>
      <w:r w:rsidRPr="00D1540F">
        <w:t xml:space="preserve"> members being also public officials and employees in the </w:t>
      </w:r>
      <w:r w:rsidRPr="00D1540F" w:rsidR="00C47188">
        <w:t>legislative and executive power</w:t>
      </w:r>
      <w:r w:rsidRPr="00D1540F">
        <w:t>.</w:t>
      </w:r>
      <w:r w:rsidRPr="00D1540F" w:rsidR="00C47188">
        <w:rPr>
          <w:rStyle w:val="FootnoteReference"/>
        </w:rPr>
        <w:footnoteReference w:id="2"/>
      </w:r>
    </w:p>
    <w:p w:rsidRPr="00D1540F" w:rsidR="00683923" w:rsidP="00683923" w:rsidRDefault="00683923" w14:paraId="72112306" w14:textId="6D6E4FE4">
      <w:pPr>
        <w:jc w:val="both"/>
        <w:rPr>
          <w:rStyle w:val="normaltextrun"/>
          <w:rFonts w:ascii="Calibri" w:hAnsi="Calibri" w:eastAsia="Calibri" w:cs="Calibri"/>
          <w:i/>
        </w:rPr>
      </w:pPr>
      <w:r w:rsidRPr="00D1540F">
        <w:rPr>
          <w:rStyle w:val="normaltextrun"/>
          <w:rFonts w:ascii="Calibri" w:hAnsi="Calibri" w:eastAsia="Calibri" w:cs="Calibri"/>
          <w:i/>
        </w:rPr>
        <w:t xml:space="preserve">Does </w:t>
      </w:r>
      <w:r w:rsidRPr="00D1540F" w:rsidR="002976B3">
        <w:rPr>
          <w:rStyle w:val="normaltextrun"/>
          <w:rFonts w:ascii="Calibri" w:hAnsi="Calibri" w:eastAsia="Calibri" w:cs="Calibri"/>
          <w:i/>
        </w:rPr>
        <w:t>the SEC have a</w:t>
      </w:r>
      <w:r w:rsidRPr="00D1540F">
        <w:rPr>
          <w:rStyle w:val="normaltextrun"/>
          <w:rFonts w:ascii="Calibri" w:hAnsi="Calibri" w:eastAsia="Calibri" w:cs="Calibri"/>
          <w:i/>
        </w:rPr>
        <w:t xml:space="preserve"> </w:t>
      </w:r>
      <w:r w:rsidRPr="00D1540F" w:rsidR="002976B3">
        <w:rPr>
          <w:rStyle w:val="normaltextrun"/>
          <w:rFonts w:ascii="Calibri" w:hAnsi="Calibri" w:eastAsia="Calibri" w:cs="Calibri"/>
          <w:i/>
        </w:rPr>
        <w:t>non-party</w:t>
      </w:r>
      <w:r w:rsidRPr="00D1540F">
        <w:rPr>
          <w:rStyle w:val="normaltextrun"/>
          <w:rFonts w:ascii="Calibri" w:hAnsi="Calibri" w:eastAsia="Calibri" w:cs="Calibri"/>
          <w:i/>
        </w:rPr>
        <w:t xml:space="preserve"> structure?</w:t>
      </w:r>
    </w:p>
    <w:p w:rsidRPr="00D1540F" w:rsidR="00683923" w:rsidP="00683923" w:rsidRDefault="00683923" w14:paraId="16799C43" w14:textId="03C3FDDC">
      <w:pPr>
        <w:jc w:val="both"/>
        <w:rPr>
          <w:rStyle w:val="normaltextrun"/>
          <w:rFonts w:ascii="Calibri" w:hAnsi="Calibri" w:eastAsia="Calibri" w:cs="Calibri"/>
        </w:rPr>
      </w:pPr>
      <w:r w:rsidRPr="00D1540F">
        <w:rPr>
          <w:rStyle w:val="normaltextrun"/>
          <w:rFonts w:ascii="Calibri" w:hAnsi="Calibri" w:eastAsia="Calibri" w:cs="Calibri"/>
        </w:rPr>
        <w:t xml:space="preserve">Fulfillment of this indicator </w:t>
      </w:r>
      <w:r w:rsidR="001F527E">
        <w:rPr>
          <w:rStyle w:val="normaltextrun"/>
          <w:rFonts w:ascii="Calibri" w:hAnsi="Calibri" w:eastAsia="Calibri" w:cs="Calibri"/>
        </w:rPr>
        <w:t>was estimated at</w:t>
      </w:r>
      <w:r w:rsidRPr="00D1540F">
        <w:rPr>
          <w:rStyle w:val="normaltextrun"/>
          <w:rFonts w:ascii="Calibri" w:hAnsi="Calibri" w:eastAsia="Calibri" w:cs="Calibri"/>
        </w:rPr>
        <w:t xml:space="preserve"> 0.25</w:t>
      </w:r>
      <w:r w:rsidR="0033766B">
        <w:rPr>
          <w:rStyle w:val="normaltextrun"/>
          <w:rFonts w:ascii="Calibri" w:hAnsi="Calibri" w:eastAsia="Calibri" w:cs="Calibri"/>
        </w:rPr>
        <w:t>,</w:t>
      </w:r>
      <w:r w:rsidRPr="00D1540F">
        <w:rPr>
          <w:rStyle w:val="normaltextrun"/>
          <w:rFonts w:ascii="Calibri" w:hAnsi="Calibri" w:eastAsia="Calibri" w:cs="Calibri"/>
        </w:rPr>
        <w:t xml:space="preserve"> because within the </w:t>
      </w:r>
      <w:r w:rsidRPr="00D1540F" w:rsidR="002976B3">
        <w:rPr>
          <w:rStyle w:val="normaltextrun"/>
          <w:rFonts w:ascii="Calibri" w:hAnsi="Calibri" w:eastAsia="Calibri" w:cs="Calibri"/>
        </w:rPr>
        <w:t>SEC</w:t>
      </w:r>
      <w:r w:rsidRPr="00D1540F">
        <w:rPr>
          <w:rStyle w:val="normaltextrun"/>
          <w:rFonts w:ascii="Calibri" w:hAnsi="Calibri" w:eastAsia="Calibri" w:cs="Calibri"/>
        </w:rPr>
        <w:t xml:space="preserve">, at least at the formal level, two members must be non-partisan, although </w:t>
      </w:r>
      <w:r w:rsidRPr="00D1540F" w:rsidR="00936C91">
        <w:rPr>
          <w:rStyle w:val="normaltextrun"/>
          <w:rFonts w:ascii="Calibri" w:hAnsi="Calibri" w:eastAsia="Calibri" w:cs="Calibri"/>
        </w:rPr>
        <w:t xml:space="preserve">for fulfillment of this requirement </w:t>
      </w:r>
      <w:r w:rsidRPr="00D1540F">
        <w:rPr>
          <w:rStyle w:val="normaltextrun"/>
          <w:rFonts w:ascii="Calibri" w:hAnsi="Calibri" w:eastAsia="Calibri" w:cs="Calibri"/>
        </w:rPr>
        <w:t>there is no formal g</w:t>
      </w:r>
      <w:r w:rsidRPr="00D1540F" w:rsidR="002976B3">
        <w:rPr>
          <w:rStyle w:val="normaltextrun"/>
          <w:rFonts w:ascii="Calibri" w:hAnsi="Calibri" w:eastAsia="Calibri" w:cs="Calibri"/>
        </w:rPr>
        <w:t>uarantee</w:t>
      </w:r>
      <w:r w:rsidRPr="00D1540F" w:rsidR="00936C91">
        <w:rPr>
          <w:rStyle w:val="normaltextrun"/>
          <w:rFonts w:ascii="Calibri" w:hAnsi="Calibri" w:eastAsia="Calibri" w:cs="Calibri"/>
        </w:rPr>
        <w:t xml:space="preserve"> that there is no party influence</w:t>
      </w:r>
      <w:r w:rsidRPr="00D1540F">
        <w:rPr>
          <w:rStyle w:val="normaltextrun"/>
          <w:rFonts w:ascii="Calibri" w:hAnsi="Calibri" w:eastAsia="Calibri" w:cs="Calibri"/>
        </w:rPr>
        <w:t>.</w:t>
      </w:r>
    </w:p>
    <w:p w:rsidRPr="00D1540F" w:rsidR="00683923" w:rsidP="00683923" w:rsidRDefault="00683923" w14:paraId="10702086" w14:textId="338CAF34">
      <w:pPr>
        <w:jc w:val="both"/>
        <w:rPr>
          <w:rStyle w:val="normaltextrun"/>
          <w:rFonts w:ascii="Calibri" w:hAnsi="Calibri" w:eastAsia="Calibri" w:cs="Calibri"/>
        </w:rPr>
      </w:pPr>
      <w:r w:rsidRPr="00D1540F">
        <w:rPr>
          <w:rStyle w:val="normaltextrun"/>
          <w:rFonts w:ascii="Calibri" w:hAnsi="Calibri" w:eastAsia="Calibri" w:cs="Calibri"/>
        </w:rPr>
        <w:lastRenderedPageBreak/>
        <w:t>The State Election Commission (</w:t>
      </w:r>
      <w:r w:rsidRPr="00D1540F" w:rsidR="003D025A">
        <w:rPr>
          <w:rFonts w:ascii="Calibri" w:hAnsi="Calibri" w:eastAsia="Calibri" w:cs="Calibri"/>
        </w:rPr>
        <w:t xml:space="preserve">SEC) is composed of a chairperson and ten standing members </w:t>
      </w:r>
      <w:r w:rsidRPr="00D1540F">
        <w:rPr>
          <w:rStyle w:val="normaltextrun"/>
          <w:rFonts w:ascii="Calibri" w:hAnsi="Calibri" w:eastAsia="Calibri" w:cs="Calibri"/>
        </w:rPr>
        <w:t xml:space="preserve">and </w:t>
      </w:r>
      <w:r w:rsidRPr="00D1540F" w:rsidR="000846DE">
        <w:rPr>
          <w:rFonts w:ascii="Calibri" w:hAnsi="Calibri" w:eastAsia="Calibri" w:cs="Calibri"/>
        </w:rPr>
        <w:t xml:space="preserve">one </w:t>
      </w:r>
      <w:r w:rsidR="00C33444">
        <w:rPr>
          <w:rFonts w:ascii="Calibri" w:hAnsi="Calibri" w:eastAsia="Calibri" w:cs="Calibri"/>
        </w:rPr>
        <w:t>empowered representative</w:t>
      </w:r>
      <w:r w:rsidRPr="00D1540F" w:rsidR="000846DE">
        <w:rPr>
          <w:rFonts w:ascii="Calibri" w:hAnsi="Calibri" w:eastAsia="Calibri" w:cs="Calibri"/>
        </w:rPr>
        <w:t xml:space="preserve"> of each of the submitters of electoral lists</w:t>
      </w:r>
      <w:r w:rsidRPr="00D1540F">
        <w:rPr>
          <w:rStyle w:val="normaltextrun"/>
          <w:rFonts w:ascii="Calibri" w:hAnsi="Calibri" w:eastAsia="Calibri" w:cs="Calibri"/>
        </w:rPr>
        <w:t xml:space="preserve">. Two members of </w:t>
      </w:r>
      <w:r w:rsidRPr="00D1540F" w:rsidR="003D025A">
        <w:rPr>
          <w:rStyle w:val="normaltextrun"/>
          <w:rFonts w:ascii="Calibri" w:hAnsi="Calibri" w:eastAsia="Calibri" w:cs="Calibri"/>
        </w:rPr>
        <w:t>the SEC</w:t>
      </w:r>
      <w:r w:rsidRPr="00D1540F">
        <w:rPr>
          <w:rStyle w:val="normaltextrun"/>
          <w:rFonts w:ascii="Calibri" w:hAnsi="Calibri" w:eastAsia="Calibri" w:cs="Calibri"/>
        </w:rPr>
        <w:t xml:space="preserve">, a </w:t>
      </w:r>
      <w:r w:rsidRPr="00D1540F" w:rsidR="003D025A">
        <w:rPr>
          <w:rFonts w:ascii="Calibri" w:hAnsi="Calibri" w:eastAsia="Calibri" w:cs="Calibri"/>
        </w:rPr>
        <w:t>chairperson</w:t>
      </w:r>
      <w:r w:rsidRPr="00D1540F">
        <w:rPr>
          <w:rStyle w:val="normaltextrun"/>
          <w:rFonts w:ascii="Calibri" w:hAnsi="Calibri" w:eastAsia="Calibri" w:cs="Calibri"/>
        </w:rPr>
        <w:t xml:space="preserve"> and a member of civil society, </w:t>
      </w:r>
      <w:r w:rsidR="0033766B">
        <w:rPr>
          <w:rStyle w:val="normaltextrun"/>
          <w:rFonts w:ascii="Calibri" w:hAnsi="Calibri" w:eastAsia="Calibri" w:cs="Calibri"/>
        </w:rPr>
        <w:t>ar</w:t>
      </w:r>
      <w:r w:rsidR="002A5C2F">
        <w:rPr>
          <w:rStyle w:val="normaltextrun"/>
          <w:rFonts w:ascii="Calibri" w:hAnsi="Calibri" w:eastAsia="Calibri" w:cs="Calibri"/>
        </w:rPr>
        <w:t>e</w:t>
      </w:r>
      <w:r w:rsidRPr="00D1540F">
        <w:rPr>
          <w:rStyle w:val="normaltextrun"/>
          <w:rFonts w:ascii="Calibri" w:hAnsi="Calibri" w:eastAsia="Calibri" w:cs="Calibri"/>
        </w:rPr>
        <w:t xml:space="preserve"> appointed by the </w:t>
      </w:r>
      <w:r w:rsidRPr="00D1540F" w:rsidR="003D025A">
        <w:rPr>
          <w:rStyle w:val="normaltextrun"/>
          <w:rFonts w:ascii="Calibri" w:hAnsi="Calibri" w:eastAsia="Calibri" w:cs="Calibri"/>
        </w:rPr>
        <w:t xml:space="preserve">Parliament </w:t>
      </w:r>
      <w:r w:rsidRPr="00D176C5" w:rsidR="00D176C5">
        <w:rPr>
          <w:rFonts w:ascii="Calibri" w:hAnsi="Calibri" w:eastAsia="Calibri" w:cs="Calibri"/>
        </w:rPr>
        <w:t>after a previously conducted open competition</w:t>
      </w:r>
      <w:r w:rsidRPr="00D1540F">
        <w:rPr>
          <w:rStyle w:val="normaltextrun"/>
          <w:rFonts w:ascii="Calibri" w:hAnsi="Calibri" w:eastAsia="Calibri" w:cs="Calibri"/>
        </w:rPr>
        <w:t xml:space="preserve">. The remaining nine members are appointed by the </w:t>
      </w:r>
      <w:r w:rsidRPr="00D1540F" w:rsidR="003D025A">
        <w:rPr>
          <w:rStyle w:val="normaltextrun"/>
          <w:rFonts w:ascii="Calibri" w:hAnsi="Calibri" w:eastAsia="Calibri" w:cs="Calibri"/>
        </w:rPr>
        <w:t xml:space="preserve">Parliament, four </w:t>
      </w:r>
      <w:r w:rsidRPr="00D1540F" w:rsidR="003D025A">
        <w:rPr>
          <w:rFonts w:ascii="Calibri" w:hAnsi="Calibri" w:eastAsia="Calibri" w:cs="Calibri"/>
        </w:rPr>
        <w:t xml:space="preserve">members are proposed by the parliamentary majority, four by the parliamentary opposition, and one member is appointed </w:t>
      </w:r>
      <w:r w:rsidRPr="00D1540F" w:rsidR="003D025A">
        <w:rPr>
          <w:rStyle w:val="normaltextrun"/>
          <w:rFonts w:ascii="Calibri" w:hAnsi="Calibri" w:eastAsia="Calibri" w:cs="Calibri"/>
        </w:rPr>
        <w:t xml:space="preserve">as a representative of the parties </w:t>
      </w:r>
      <w:r w:rsidRPr="00D1540F" w:rsidR="003D025A">
        <w:rPr>
          <w:rFonts w:ascii="Calibri" w:hAnsi="Calibri" w:eastAsia="Calibri" w:cs="Calibri"/>
        </w:rPr>
        <w:t>from a national minority.</w:t>
      </w:r>
      <w:r w:rsidRPr="00D1540F" w:rsidR="006E2E4A">
        <w:rPr>
          <w:rStyle w:val="FootnoteReference"/>
        </w:rPr>
        <w:footnoteReference w:id="3"/>
      </w:r>
      <w:r w:rsidRPr="00D1540F" w:rsidR="006E2E4A">
        <w:t xml:space="preserve"> </w:t>
      </w:r>
      <w:r w:rsidRPr="00D1540F">
        <w:rPr>
          <w:rStyle w:val="normaltextrun"/>
          <w:rFonts w:ascii="Calibri" w:hAnsi="Calibri" w:eastAsia="Calibri" w:cs="Calibri"/>
        </w:rPr>
        <w:t xml:space="preserve">Thus, nine out of 11 </w:t>
      </w:r>
      <w:r w:rsidR="001F527E">
        <w:rPr>
          <w:rStyle w:val="normaltextrun"/>
          <w:rFonts w:ascii="Calibri" w:hAnsi="Calibri" w:eastAsia="Calibri" w:cs="Calibri"/>
        </w:rPr>
        <w:t xml:space="preserve">standing </w:t>
      </w:r>
      <w:r w:rsidRPr="00D1540F">
        <w:rPr>
          <w:rStyle w:val="normaltextrun"/>
          <w:rFonts w:ascii="Calibri" w:hAnsi="Calibri" w:eastAsia="Calibri" w:cs="Calibri"/>
        </w:rPr>
        <w:t xml:space="preserve">members </w:t>
      </w:r>
      <w:r w:rsidR="002A5C2F">
        <w:rPr>
          <w:rStyle w:val="normaltextrun"/>
          <w:rFonts w:ascii="Calibri" w:hAnsi="Calibri" w:eastAsia="Calibri" w:cs="Calibri"/>
        </w:rPr>
        <w:t>are</w:t>
      </w:r>
      <w:r w:rsidRPr="00D1540F">
        <w:rPr>
          <w:rStyle w:val="normaltextrun"/>
          <w:rFonts w:ascii="Calibri" w:hAnsi="Calibri" w:eastAsia="Calibri" w:cs="Calibri"/>
        </w:rPr>
        <w:t xml:space="preserve"> proposed by political parties and </w:t>
      </w:r>
      <w:r w:rsidRPr="00D1540F" w:rsidR="006E2E4A">
        <w:rPr>
          <w:rStyle w:val="normaltextrun"/>
          <w:rFonts w:ascii="Calibri" w:hAnsi="Calibri" w:eastAsia="Calibri" w:cs="Calibri"/>
        </w:rPr>
        <w:t>they are accountable to them</w:t>
      </w:r>
      <w:r w:rsidRPr="00D1540F">
        <w:rPr>
          <w:rStyle w:val="normaltextrun"/>
          <w:rFonts w:ascii="Calibri" w:hAnsi="Calibri" w:eastAsia="Calibri" w:cs="Calibri"/>
        </w:rPr>
        <w:t xml:space="preserve">. </w:t>
      </w:r>
      <w:r w:rsidR="00C33444">
        <w:rPr>
          <w:rStyle w:val="normaltextrun"/>
          <w:rFonts w:ascii="Calibri" w:hAnsi="Calibri" w:eastAsia="Calibri" w:cs="Calibri"/>
        </w:rPr>
        <w:t>Empowered representative</w:t>
      </w:r>
      <w:r w:rsidRPr="00D1540F">
        <w:rPr>
          <w:rStyle w:val="normaltextrun"/>
          <w:rFonts w:ascii="Calibri" w:hAnsi="Calibri" w:eastAsia="Calibri" w:cs="Calibri"/>
        </w:rPr>
        <w:t xml:space="preserve">s of </w:t>
      </w:r>
      <w:r w:rsidR="00F32446">
        <w:rPr>
          <w:rStyle w:val="normaltextrun"/>
          <w:rFonts w:ascii="Calibri" w:hAnsi="Calibri" w:eastAsia="Calibri" w:cs="Calibri"/>
        </w:rPr>
        <w:t xml:space="preserve">political parties and candidates, </w:t>
      </w:r>
      <w:r w:rsidR="00CF4874">
        <w:rPr>
          <w:rStyle w:val="normaltextrun"/>
          <w:rFonts w:ascii="Calibri" w:hAnsi="Calibri" w:eastAsia="Calibri" w:cs="Calibri"/>
        </w:rPr>
        <w:t>with</w:t>
      </w:r>
      <w:r w:rsidRPr="00D1540F">
        <w:rPr>
          <w:rStyle w:val="normaltextrun"/>
          <w:rFonts w:ascii="Calibri" w:hAnsi="Calibri" w:eastAsia="Calibri" w:cs="Calibri"/>
        </w:rPr>
        <w:t xml:space="preserve"> the same rights and obligations as </w:t>
      </w:r>
      <w:r w:rsidR="001F527E">
        <w:rPr>
          <w:rStyle w:val="normaltextrun"/>
          <w:rFonts w:ascii="Calibri" w:hAnsi="Calibri" w:eastAsia="Calibri" w:cs="Calibri"/>
        </w:rPr>
        <w:t xml:space="preserve">the standing </w:t>
      </w:r>
      <w:r w:rsidRPr="00D1540F">
        <w:rPr>
          <w:rStyle w:val="normaltextrun"/>
          <w:rFonts w:ascii="Calibri" w:hAnsi="Calibri" w:eastAsia="Calibri" w:cs="Calibri"/>
        </w:rPr>
        <w:t xml:space="preserve">members </w:t>
      </w:r>
      <w:r w:rsidRPr="00F32446" w:rsidR="00F32446">
        <w:rPr>
          <w:rFonts w:ascii="Calibri" w:hAnsi="Calibri" w:eastAsia="Calibri" w:cs="Calibri"/>
        </w:rPr>
        <w:t>during the electoral process</w:t>
      </w:r>
      <w:r w:rsidR="00F32446">
        <w:rPr>
          <w:rFonts w:ascii="Calibri" w:hAnsi="Calibri" w:eastAsia="Calibri" w:cs="Calibri"/>
        </w:rPr>
        <w:t xml:space="preserve">, </w:t>
      </w:r>
      <w:r w:rsidRPr="00D1540F">
        <w:rPr>
          <w:rStyle w:val="normaltextrun"/>
          <w:rFonts w:ascii="Calibri" w:hAnsi="Calibri" w:eastAsia="Calibri" w:cs="Calibri"/>
        </w:rPr>
        <w:t>may be revoked at any time and replaced by those who have proposed them.</w:t>
      </w:r>
    </w:p>
    <w:p w:rsidRPr="00D1540F" w:rsidR="00683923" w:rsidP="0524E42C" w:rsidRDefault="00683923" w14:paraId="11C39B2D" w14:textId="68C12B5A">
      <w:pPr>
        <w:jc w:val="both"/>
        <w:rPr>
          <w:rStyle w:val="normaltextrun"/>
          <w:rFonts w:ascii="Calibri" w:hAnsi="Calibri" w:eastAsia="Calibri" w:cs="Calibri"/>
        </w:rPr>
      </w:pPr>
      <w:r w:rsidRPr="00D1540F">
        <w:rPr>
          <w:rStyle w:val="normaltextrun"/>
          <w:rFonts w:ascii="Calibri" w:hAnsi="Calibri" w:eastAsia="Calibri" w:cs="Calibri"/>
        </w:rPr>
        <w:t>In practice, this leads to a situation</w:t>
      </w:r>
      <w:r w:rsidRPr="00D1540F" w:rsidR="00842A52">
        <w:rPr>
          <w:rStyle w:val="normaltextrun"/>
          <w:rFonts w:ascii="Calibri" w:hAnsi="Calibri" w:eastAsia="Calibri" w:cs="Calibri"/>
        </w:rPr>
        <w:t xml:space="preserve"> of</w:t>
      </w:r>
      <w:r w:rsidRPr="00D1540F">
        <w:rPr>
          <w:rStyle w:val="normaltextrun"/>
          <w:rFonts w:ascii="Calibri" w:hAnsi="Calibri" w:eastAsia="Calibri" w:cs="Calibri"/>
        </w:rPr>
        <w:t xml:space="preserve"> </w:t>
      </w:r>
      <w:r w:rsidRPr="00D1540F" w:rsidR="00842A52">
        <w:rPr>
          <w:rStyle w:val="normaltextrun"/>
          <w:rFonts w:ascii="Calibri" w:hAnsi="Calibri" w:eastAsia="Calibri" w:cs="Calibri"/>
        </w:rPr>
        <w:t>voting along party lines on all the sensitive issues</w:t>
      </w:r>
      <w:r w:rsidRPr="00D1540F">
        <w:rPr>
          <w:rStyle w:val="normaltextrun"/>
          <w:rFonts w:ascii="Calibri" w:hAnsi="Calibri" w:eastAsia="Calibri" w:cs="Calibri"/>
        </w:rPr>
        <w:t xml:space="preserve">. </w:t>
      </w:r>
      <w:r w:rsidRPr="00D1540F" w:rsidR="00842A52">
        <w:rPr>
          <w:rStyle w:val="normaltextrun"/>
          <w:rFonts w:ascii="Calibri" w:hAnsi="Calibri" w:eastAsia="Calibri" w:cs="Calibri"/>
        </w:rPr>
        <w:t>Moreover</w:t>
      </w:r>
      <w:r w:rsidRPr="00D1540F">
        <w:rPr>
          <w:rStyle w:val="normaltextrun"/>
          <w:rFonts w:ascii="Calibri" w:hAnsi="Calibri" w:eastAsia="Calibri" w:cs="Calibri"/>
        </w:rPr>
        <w:t xml:space="preserve">, practice has shown that </w:t>
      </w:r>
      <w:r w:rsidR="00C33444">
        <w:rPr>
          <w:rStyle w:val="normaltextrun"/>
          <w:rFonts w:ascii="Calibri" w:hAnsi="Calibri" w:eastAsia="Calibri" w:cs="Calibri"/>
        </w:rPr>
        <w:t>empowered representative</w:t>
      </w:r>
      <w:r w:rsidRPr="00D1540F">
        <w:rPr>
          <w:rStyle w:val="normaltextrun"/>
          <w:rFonts w:ascii="Calibri" w:hAnsi="Calibri" w:eastAsia="Calibri" w:cs="Calibri"/>
        </w:rPr>
        <w:t>s are most often not interested in</w:t>
      </w:r>
      <w:r w:rsidR="002A5C2F">
        <w:rPr>
          <w:rStyle w:val="normaltextrun"/>
          <w:rFonts w:ascii="Calibri" w:hAnsi="Calibri" w:eastAsia="Calibri" w:cs="Calibri"/>
        </w:rPr>
        <w:t xml:space="preserve"> the</w:t>
      </w:r>
      <w:r w:rsidRPr="00D1540F">
        <w:rPr>
          <w:rStyle w:val="normaltextrun"/>
          <w:rFonts w:ascii="Calibri" w:hAnsi="Calibri" w:eastAsia="Calibri" w:cs="Calibri"/>
        </w:rPr>
        <w:t xml:space="preserve"> </w:t>
      </w:r>
      <w:r w:rsidRPr="00D1540F" w:rsidR="00842A52">
        <w:rPr>
          <w:rStyle w:val="normaltextrun"/>
          <w:rFonts w:ascii="Calibri" w:hAnsi="Calibri" w:eastAsia="Calibri" w:cs="Calibri"/>
        </w:rPr>
        <w:t xml:space="preserve">work of </w:t>
      </w:r>
      <w:r w:rsidRPr="00D1540F" w:rsidR="006E2E4A">
        <w:rPr>
          <w:rStyle w:val="normaltextrun"/>
          <w:rFonts w:ascii="Calibri" w:hAnsi="Calibri" w:eastAsia="Calibri" w:cs="Calibri"/>
        </w:rPr>
        <w:t>the SEC</w:t>
      </w:r>
      <w:r w:rsidRPr="00D1540F">
        <w:rPr>
          <w:rStyle w:val="normaltextrun"/>
          <w:rFonts w:ascii="Calibri" w:hAnsi="Calibri" w:eastAsia="Calibri" w:cs="Calibri"/>
        </w:rPr>
        <w:t>, except when they need to raise their hands for a decision in favo</w:t>
      </w:r>
      <w:r w:rsidRPr="00D1540F" w:rsidR="00842A52">
        <w:rPr>
          <w:rStyle w:val="normaltextrun"/>
          <w:rFonts w:ascii="Calibri" w:hAnsi="Calibri" w:eastAsia="Calibri" w:cs="Calibri"/>
        </w:rPr>
        <w:t>r of their list/</w:t>
      </w:r>
      <w:r w:rsidRPr="00D1540F">
        <w:rPr>
          <w:rStyle w:val="normaltextrun"/>
          <w:rFonts w:ascii="Calibri" w:hAnsi="Calibri" w:eastAsia="Calibri" w:cs="Calibri"/>
        </w:rPr>
        <w:t xml:space="preserve">candidate. </w:t>
      </w:r>
      <w:r w:rsidR="002A5C2F">
        <w:rPr>
          <w:rStyle w:val="normaltextrun"/>
          <w:rFonts w:ascii="Calibri" w:hAnsi="Calibri" w:eastAsia="Calibri" w:cs="Calibri"/>
        </w:rPr>
        <w:t>The w</w:t>
      </w:r>
      <w:r w:rsidRPr="00D1540F" w:rsidR="00842A52">
        <w:rPr>
          <w:rStyle w:val="normaltextrun"/>
          <w:rFonts w:ascii="Calibri" w:hAnsi="Calibri" w:eastAsia="Calibri" w:cs="Calibri"/>
        </w:rPr>
        <w:t>ork of the SEC is characterized by p</w:t>
      </w:r>
      <w:r w:rsidRPr="00D1540F" w:rsidR="006E2E4A">
        <w:rPr>
          <w:rStyle w:val="normaltextrun"/>
          <w:rFonts w:ascii="Calibri" w:hAnsi="Calibri" w:eastAsia="Calibri" w:cs="Calibri"/>
        </w:rPr>
        <w:t>olitical tactics</w:t>
      </w:r>
      <w:r w:rsidRPr="00D1540F">
        <w:rPr>
          <w:rStyle w:val="normaltextrun"/>
          <w:rFonts w:ascii="Calibri" w:hAnsi="Calibri" w:eastAsia="Calibri" w:cs="Calibri"/>
        </w:rPr>
        <w:t xml:space="preserve">, including boycott, blockade and </w:t>
      </w:r>
      <w:r w:rsidRPr="00D1540F" w:rsidR="006E2E4A">
        <w:rPr>
          <w:rStyle w:val="normaltextrun"/>
          <w:rFonts w:ascii="Calibri" w:hAnsi="Calibri" w:eastAsia="Calibri" w:cs="Calibri"/>
        </w:rPr>
        <w:t>disabling quorum</w:t>
      </w:r>
      <w:r w:rsidRPr="00D1540F">
        <w:rPr>
          <w:rStyle w:val="normaltextrun"/>
          <w:rFonts w:ascii="Calibri" w:hAnsi="Calibri" w:eastAsia="Calibri" w:cs="Calibri"/>
        </w:rPr>
        <w:t>. Even in legally clear situations, instead of applying the law, legal gaps are sought to avoid unwanted political outcomes.</w:t>
      </w:r>
    </w:p>
    <w:p w:rsidRPr="00D1540F" w:rsidR="00683923" w:rsidP="00683923" w:rsidRDefault="00683923" w14:paraId="0902C5C2" w14:textId="0CB1DE0F">
      <w:pPr>
        <w:jc w:val="both"/>
        <w:rPr>
          <w:rStyle w:val="normaltextrun"/>
          <w:i/>
        </w:rPr>
      </w:pPr>
      <w:r w:rsidRPr="00D1540F">
        <w:rPr>
          <w:rStyle w:val="normaltextrun"/>
          <w:i/>
        </w:rPr>
        <w:t xml:space="preserve">Is </w:t>
      </w:r>
      <w:r w:rsidRPr="00D1540F" w:rsidR="00842A52">
        <w:rPr>
          <w:rStyle w:val="normaltextrun"/>
          <w:i/>
        </w:rPr>
        <w:t xml:space="preserve">the SEC </w:t>
      </w:r>
      <w:r w:rsidRPr="00D1540F">
        <w:rPr>
          <w:rStyle w:val="normaltextrun"/>
          <w:i/>
        </w:rPr>
        <w:t>a permanent institution (not</w:t>
      </w:r>
      <w:r w:rsidRPr="00D1540F" w:rsidR="00842A52">
        <w:rPr>
          <w:rStyle w:val="normaltextrun"/>
          <w:i/>
        </w:rPr>
        <w:t xml:space="preserve"> an</w:t>
      </w:r>
      <w:r w:rsidRPr="00D1540F">
        <w:rPr>
          <w:rStyle w:val="normaltextrun"/>
          <w:i/>
        </w:rPr>
        <w:t xml:space="preserve"> occasional body)?</w:t>
      </w:r>
    </w:p>
    <w:p w:rsidRPr="00D1540F" w:rsidR="00683923" w:rsidP="00683923" w:rsidRDefault="00F32446" w14:paraId="4A696111" w14:textId="4A0841D1">
      <w:pPr>
        <w:jc w:val="both"/>
        <w:rPr>
          <w:rStyle w:val="normaltextrun"/>
        </w:rPr>
      </w:pPr>
      <w:r w:rsidRPr="00D1540F">
        <w:rPr>
          <w:rStyle w:val="normaltextrun"/>
        </w:rPr>
        <w:t>Fulfillment</w:t>
      </w:r>
      <w:r w:rsidRPr="00D1540F" w:rsidR="0030271A">
        <w:rPr>
          <w:rStyle w:val="normaltextrun"/>
        </w:rPr>
        <w:t xml:space="preserve"> </w:t>
      </w:r>
      <w:r w:rsidRPr="00D1540F" w:rsidR="00683923">
        <w:rPr>
          <w:rStyle w:val="normaltextrun"/>
        </w:rPr>
        <w:t xml:space="preserve">of this indicator was estimated at 0.5, </w:t>
      </w:r>
      <w:r w:rsidR="0033766B">
        <w:rPr>
          <w:rStyle w:val="normaltextrun"/>
        </w:rPr>
        <w:t>because</w:t>
      </w:r>
      <w:r w:rsidR="002A5C2F">
        <w:rPr>
          <w:rStyle w:val="normaltextrun"/>
        </w:rPr>
        <w:t xml:space="preserve"> the last amendments to the Law stipulate</w:t>
      </w:r>
      <w:r w:rsidRPr="00D1540F" w:rsidR="00683923">
        <w:rPr>
          <w:rStyle w:val="normaltextrun"/>
        </w:rPr>
        <w:t xml:space="preserve"> that the State Election Commission has the status of a legal </w:t>
      </w:r>
      <w:r w:rsidR="002A5C2F">
        <w:rPr>
          <w:rStyle w:val="normaltextrun"/>
        </w:rPr>
        <w:t>entity, thus creating the</w:t>
      </w:r>
      <w:r w:rsidRPr="00D1540F" w:rsidR="00683923">
        <w:rPr>
          <w:rStyle w:val="normaltextrun"/>
        </w:rPr>
        <w:t xml:space="preserve"> preconditions for setting up a professional service.</w:t>
      </w:r>
    </w:p>
    <w:p w:rsidRPr="00D1540F" w:rsidR="00683923" w:rsidP="00683923" w:rsidRDefault="00683923" w14:paraId="2367BBB6" w14:textId="3CB56DDC">
      <w:pPr>
        <w:jc w:val="both"/>
        <w:rPr>
          <w:rStyle w:val="normaltextrun"/>
        </w:rPr>
      </w:pPr>
      <w:r w:rsidRPr="00D1540F">
        <w:rPr>
          <w:rStyle w:val="normaltextrun"/>
        </w:rPr>
        <w:t xml:space="preserve">However, it </w:t>
      </w:r>
      <w:r w:rsidRPr="00D1540F" w:rsidR="00F32446">
        <w:rPr>
          <w:rStyle w:val="normaltextrun"/>
        </w:rPr>
        <w:t>cannot</w:t>
      </w:r>
      <w:r w:rsidRPr="00D1540F">
        <w:rPr>
          <w:rStyle w:val="normaltextrun"/>
        </w:rPr>
        <w:t xml:space="preserve"> be said that </w:t>
      </w:r>
      <w:r w:rsidRPr="00D1540F" w:rsidR="00777DA1">
        <w:rPr>
          <w:rStyle w:val="normaltextrun"/>
        </w:rPr>
        <w:t>the SEC</w:t>
      </w:r>
      <w:r w:rsidRPr="00D1540F">
        <w:rPr>
          <w:rStyle w:val="normaltextrun"/>
        </w:rPr>
        <w:t xml:space="preserve"> is a permanent institution. The mandate of nine members nominated at</w:t>
      </w:r>
      <w:r w:rsidR="002A5C2F">
        <w:rPr>
          <w:rStyle w:val="normaltextrun"/>
        </w:rPr>
        <w:t xml:space="preserve"> the</w:t>
      </w:r>
      <w:r w:rsidRPr="00D1540F">
        <w:rPr>
          <w:rStyle w:val="normaltextrun"/>
        </w:rPr>
        <w:t xml:space="preserve"> </w:t>
      </w:r>
      <w:r w:rsidR="002A5C2F">
        <w:rPr>
          <w:rStyle w:val="normaltextrun"/>
        </w:rPr>
        <w:t xml:space="preserve">proposal of </w:t>
      </w:r>
      <w:r w:rsidRPr="00D1540F">
        <w:rPr>
          <w:rStyle w:val="normaltextrun"/>
        </w:rPr>
        <w:t xml:space="preserve">political parties </w:t>
      </w:r>
      <w:r w:rsidRPr="00D1540F" w:rsidR="00673EE3">
        <w:rPr>
          <w:rStyle w:val="normaltextrun"/>
        </w:rPr>
        <w:t>is bound by the mandate of the Parliament, as the L</w:t>
      </w:r>
      <w:r w:rsidRPr="00D1540F">
        <w:rPr>
          <w:rStyle w:val="normaltextrun"/>
        </w:rPr>
        <w:t>aw prescribes that representatives</w:t>
      </w:r>
      <w:r w:rsidR="001A657E">
        <w:rPr>
          <w:rStyle w:val="normaltextrun"/>
        </w:rPr>
        <w:t xml:space="preserve"> of candidate lists are</w:t>
      </w:r>
      <w:r w:rsidRPr="00D1540F">
        <w:rPr>
          <w:rStyle w:val="normaltextrun"/>
        </w:rPr>
        <w:t xml:space="preserve"> nominated </w:t>
      </w:r>
      <w:r w:rsidRPr="002A5C2F" w:rsidR="002A5C2F">
        <w:t>in proportion to the number of seats won in previous elections</w:t>
      </w:r>
      <w:r w:rsidRPr="00D1540F">
        <w:rPr>
          <w:rStyle w:val="normaltextrun"/>
        </w:rPr>
        <w:t xml:space="preserve">. In practice this means that </w:t>
      </w:r>
      <w:r w:rsidRPr="00D1540F" w:rsidR="00673EE3">
        <w:rPr>
          <w:rStyle w:val="normaltextrun"/>
        </w:rPr>
        <w:t xml:space="preserve">composition of this body changes </w:t>
      </w:r>
      <w:r w:rsidRPr="00D1540F">
        <w:rPr>
          <w:rStyle w:val="normaltextrun"/>
        </w:rPr>
        <w:t xml:space="preserve">at least once in a four-year period, individual changes of members occur more often, since only </w:t>
      </w:r>
      <w:r w:rsidR="001A657E">
        <w:rPr>
          <w:rStyle w:val="normaltextrun"/>
        </w:rPr>
        <w:t>chairperson</w:t>
      </w:r>
      <w:r w:rsidRPr="00D1540F">
        <w:rPr>
          <w:rStyle w:val="normaltextrun"/>
        </w:rPr>
        <w:t xml:space="preserve"> and secretary of the </w:t>
      </w:r>
      <w:r w:rsidRPr="00D1540F" w:rsidR="00673EE3">
        <w:rPr>
          <w:rStyle w:val="normaltextrun"/>
        </w:rPr>
        <w:t>SEC</w:t>
      </w:r>
      <w:r w:rsidRPr="00D1540F">
        <w:rPr>
          <w:rStyle w:val="normaltextrun"/>
        </w:rPr>
        <w:t xml:space="preserve"> are performing their duties professionally, while other members have their permanent </w:t>
      </w:r>
      <w:r w:rsidRPr="00D1540F" w:rsidR="00673EE3">
        <w:rPr>
          <w:rStyle w:val="normaltextrun"/>
        </w:rPr>
        <w:t xml:space="preserve">jobs </w:t>
      </w:r>
      <w:r w:rsidRPr="00D1540F">
        <w:rPr>
          <w:rStyle w:val="normaltextrun"/>
        </w:rPr>
        <w:t>and obligations.</w:t>
      </w:r>
    </w:p>
    <w:p w:rsidRPr="00D1540F" w:rsidR="00683923" w:rsidP="00683923" w:rsidRDefault="008A373E" w14:paraId="74B50318" w14:textId="0B6D9156">
      <w:pPr>
        <w:jc w:val="both"/>
        <w:rPr>
          <w:i/>
        </w:rPr>
      </w:pPr>
      <w:r w:rsidRPr="00D1540F">
        <w:rPr>
          <w:i/>
        </w:rPr>
        <w:t>Is</w:t>
      </w:r>
      <w:r w:rsidRPr="00D1540F" w:rsidR="00683923">
        <w:rPr>
          <w:i/>
        </w:rPr>
        <w:t xml:space="preserve"> </w:t>
      </w:r>
      <w:r w:rsidR="001F527E">
        <w:rPr>
          <w:i/>
        </w:rPr>
        <w:t>chairperson</w:t>
      </w:r>
      <w:r w:rsidRPr="00D1540F">
        <w:rPr>
          <w:i/>
        </w:rPr>
        <w:t xml:space="preserve"> of the SEC</w:t>
      </w:r>
      <w:r w:rsidRPr="00D1540F" w:rsidR="00683923">
        <w:rPr>
          <w:i/>
        </w:rPr>
        <w:t xml:space="preserve"> elected independently by an independent panel or body (</w:t>
      </w:r>
      <w:r w:rsidRPr="00D1540F" w:rsidR="00F32446">
        <w:rPr>
          <w:i/>
        </w:rPr>
        <w:t>e.g.</w:t>
      </w:r>
      <w:r w:rsidRPr="00D1540F" w:rsidR="00683923">
        <w:rPr>
          <w:i/>
        </w:rPr>
        <w:t xml:space="preserve"> members of the election administration or judges)?</w:t>
      </w:r>
    </w:p>
    <w:p w:rsidRPr="00D1540F" w:rsidR="00683923" w:rsidP="00683923" w:rsidRDefault="00683923" w14:paraId="5F44A3EE" w14:textId="42F8CA57">
      <w:pPr>
        <w:jc w:val="both"/>
      </w:pPr>
      <w:r w:rsidRPr="00D1540F">
        <w:t xml:space="preserve">Fulfillment of this indicator </w:t>
      </w:r>
      <w:r w:rsidR="001F527E">
        <w:t>was estimated at</w:t>
      </w:r>
      <w:r w:rsidR="0033766B">
        <w:t xml:space="preserve"> 0, </w:t>
      </w:r>
      <w:r w:rsidRPr="00D1540F">
        <w:t xml:space="preserve">because </w:t>
      </w:r>
      <w:r w:rsidR="001F527E">
        <w:t>chairperson</w:t>
      </w:r>
      <w:r w:rsidRPr="00D1540F" w:rsidR="008A373E">
        <w:t xml:space="preserve"> of the SEC </w:t>
      </w:r>
      <w:r w:rsidRPr="00D1540F">
        <w:t>is not elected by an independent body.</w:t>
      </w:r>
    </w:p>
    <w:p w:rsidRPr="00D1540F" w:rsidR="00683923" w:rsidP="00683923" w:rsidRDefault="001F527E" w14:paraId="74617F16" w14:textId="532451CF">
      <w:pPr>
        <w:jc w:val="both"/>
      </w:pPr>
      <w:r>
        <w:t>Chairperson</w:t>
      </w:r>
      <w:r w:rsidRPr="00D1540F" w:rsidR="00683923">
        <w:t xml:space="preserve"> of the </w:t>
      </w:r>
      <w:r w:rsidRPr="00D1540F" w:rsidR="00652BBD">
        <w:t>SEC</w:t>
      </w:r>
      <w:r w:rsidRPr="00D1540F" w:rsidR="00683923">
        <w:t xml:space="preserve"> </w:t>
      </w:r>
      <w:r w:rsidRPr="00D1540F" w:rsidR="00652BBD">
        <w:t>is</w:t>
      </w:r>
      <w:r w:rsidRPr="00D1540F" w:rsidR="00683923">
        <w:t xml:space="preserve"> appointed by the </w:t>
      </w:r>
      <w:r w:rsidRPr="00D1540F" w:rsidR="00652BBD">
        <w:t>Parliament</w:t>
      </w:r>
      <w:r w:rsidRPr="00D1540F" w:rsidR="00683923">
        <w:t xml:space="preserve"> at the </w:t>
      </w:r>
      <w:r w:rsidRPr="00D1540F" w:rsidR="00652BBD">
        <w:t>proposal</w:t>
      </w:r>
      <w:r w:rsidRPr="00D1540F" w:rsidR="00683923">
        <w:t xml:space="preserve"> of the Administrative Board, </w:t>
      </w:r>
      <w:r w:rsidRPr="00BE305F" w:rsidR="00BE305F">
        <w:t>after a previously conducted open competition</w:t>
      </w:r>
      <w:r w:rsidRPr="00D1540F" w:rsidR="00683923">
        <w:t>.</w:t>
      </w:r>
      <w:r w:rsidRPr="00D1540F" w:rsidR="00652BBD">
        <w:rPr>
          <w:rStyle w:val="FootnoteReference"/>
        </w:rPr>
        <w:footnoteReference w:id="4"/>
      </w:r>
      <w:r w:rsidR="00BE305F">
        <w:t xml:space="preserve"> The</w:t>
      </w:r>
      <w:r w:rsidRPr="00D1540F" w:rsidR="000846DE">
        <w:t xml:space="preserve"> </w:t>
      </w:r>
      <w:r w:rsidR="00BE305F">
        <w:t>open</w:t>
      </w:r>
      <w:r w:rsidRPr="00D1540F" w:rsidR="000846DE">
        <w:t xml:space="preserve"> competition</w:t>
      </w:r>
      <w:r w:rsidRPr="00D1540F" w:rsidR="00683923">
        <w:t xml:space="preserve"> is being carried out and no decision is made by an independent panel, but by the working body of the </w:t>
      </w:r>
      <w:r w:rsidRPr="00D1540F" w:rsidR="000846DE">
        <w:t>Parliament</w:t>
      </w:r>
      <w:r w:rsidRPr="00D1540F" w:rsidR="00683923">
        <w:t xml:space="preserve"> reflecting the political </w:t>
      </w:r>
      <w:r w:rsidRPr="00D1540F" w:rsidR="00683923">
        <w:lastRenderedPageBreak/>
        <w:t xml:space="preserve">proportions in </w:t>
      </w:r>
      <w:r w:rsidRPr="00D1540F" w:rsidR="00F27BD8">
        <w:t>the P</w:t>
      </w:r>
      <w:r w:rsidRPr="00D1540F" w:rsidR="00683923">
        <w:t xml:space="preserve">arliament. </w:t>
      </w:r>
      <w:r w:rsidR="00D176C5">
        <w:t>Having</w:t>
      </w:r>
      <w:r w:rsidRPr="00D1540F" w:rsidR="00683923">
        <w:t xml:space="preserve"> in mind the insufficiently defined </w:t>
      </w:r>
      <w:r w:rsidRPr="00D1540F" w:rsidR="00F27BD8">
        <w:t>requirements</w:t>
      </w:r>
      <w:r w:rsidRPr="00D1540F" w:rsidR="00683923">
        <w:t xml:space="preserve"> </w:t>
      </w:r>
      <w:r w:rsidR="003E0BE4">
        <w:t xml:space="preserve">that </w:t>
      </w:r>
      <w:r w:rsidRPr="00D1540F" w:rsidR="00683923">
        <w:t xml:space="preserve">the candidate needs to fulfill, this </w:t>
      </w:r>
      <w:r w:rsidRPr="00D1540F" w:rsidR="00F27BD8">
        <w:t xml:space="preserve">manner of </w:t>
      </w:r>
      <w:r w:rsidRPr="00D1540F" w:rsidR="00683923">
        <w:t>election allows the candidate to be ele</w:t>
      </w:r>
      <w:r w:rsidRPr="00D1540F" w:rsidR="00F27BD8">
        <w:t xml:space="preserve">cted under the influence of </w:t>
      </w:r>
      <w:r w:rsidRPr="00D1540F" w:rsidR="00683923">
        <w:t>poli</w:t>
      </w:r>
      <w:r w:rsidRPr="00D1540F" w:rsidR="00F27BD8">
        <w:t>tics</w:t>
      </w:r>
      <w:r w:rsidRPr="00D1540F" w:rsidR="00683923">
        <w:t>.</w:t>
      </w:r>
    </w:p>
    <w:p w:rsidRPr="00D1540F" w:rsidR="00683923" w:rsidP="00683923" w:rsidRDefault="00F27BD8" w14:paraId="7144A29A" w14:textId="167D1491">
      <w:pPr>
        <w:jc w:val="both"/>
        <w:rPr>
          <w:i/>
        </w:rPr>
      </w:pPr>
      <w:r w:rsidRPr="00D1540F">
        <w:rPr>
          <w:i/>
        </w:rPr>
        <w:t>I</w:t>
      </w:r>
      <w:r w:rsidRPr="00D1540F" w:rsidR="00683923">
        <w:rPr>
          <w:i/>
        </w:rPr>
        <w:t xml:space="preserve">s </w:t>
      </w:r>
      <w:r w:rsidRPr="00D1540F" w:rsidR="0002457E">
        <w:rPr>
          <w:i/>
        </w:rPr>
        <w:t xml:space="preserve">a </w:t>
      </w:r>
      <w:r w:rsidR="001F527E">
        <w:rPr>
          <w:i/>
        </w:rPr>
        <w:t>chairperson</w:t>
      </w:r>
      <w:r w:rsidRPr="00D1540F" w:rsidR="00683923">
        <w:rPr>
          <w:i/>
        </w:rPr>
        <w:t xml:space="preserve"> elected on the basis of professional qualifications (rather than </w:t>
      </w:r>
      <w:r w:rsidR="00D176C5">
        <w:rPr>
          <w:i/>
        </w:rPr>
        <w:t xml:space="preserve">a </w:t>
      </w:r>
      <w:r w:rsidRPr="00D1540F" w:rsidR="00683923">
        <w:rPr>
          <w:i/>
        </w:rPr>
        <w:t>party status)?</w:t>
      </w:r>
    </w:p>
    <w:p w:rsidR="00683923" w:rsidP="00683923" w:rsidRDefault="00F32446" w14:paraId="711ED02C" w14:textId="336353D5">
      <w:pPr>
        <w:jc w:val="both"/>
      </w:pPr>
      <w:r w:rsidRPr="00D1540F">
        <w:t>Fulfillment</w:t>
      </w:r>
      <w:r w:rsidRPr="00D1540F" w:rsidR="00683923">
        <w:t xml:space="preserve"> of this indicator was</w:t>
      </w:r>
      <w:r w:rsidRPr="00D1540F" w:rsidR="00F27BD8">
        <w:t xml:space="preserve"> estimated at 0.25</w:t>
      </w:r>
      <w:r w:rsidR="003E0BE4">
        <w:t>,</w:t>
      </w:r>
      <w:r w:rsidRPr="00D1540F" w:rsidR="00F27BD8">
        <w:t xml:space="preserve"> because the requirements</w:t>
      </w:r>
      <w:r w:rsidRPr="00D1540F" w:rsidR="00683923">
        <w:t xml:space="preserve"> to be fulfilled by </w:t>
      </w:r>
      <w:r w:rsidRPr="00D1540F" w:rsidR="00842A52">
        <w:t>a</w:t>
      </w:r>
      <w:r w:rsidRPr="00D1540F" w:rsidR="00683923">
        <w:t xml:space="preserve"> candidate for the</w:t>
      </w:r>
      <w:r w:rsidRPr="00D1540F" w:rsidR="00F27BD8">
        <w:t xml:space="preserve"> SEC </w:t>
      </w:r>
      <w:r w:rsidR="001F527E">
        <w:t>chairperson</w:t>
      </w:r>
      <w:r w:rsidRPr="00D1540F" w:rsidR="00683923">
        <w:t xml:space="preserve"> </w:t>
      </w:r>
      <w:r w:rsidRPr="003E0BE4" w:rsidR="00683923">
        <w:t>are very low</w:t>
      </w:r>
      <w:r w:rsidRPr="00D1540F" w:rsidR="00683923">
        <w:t xml:space="preserve">. </w:t>
      </w:r>
      <w:r w:rsidRPr="00D1540F" w:rsidR="00F27BD8">
        <w:t>Namel</w:t>
      </w:r>
      <w:r w:rsidRPr="00D1540F" w:rsidR="00683923">
        <w:t xml:space="preserve">y, </w:t>
      </w:r>
      <w:r w:rsidR="001F527E">
        <w:t>chairperson</w:t>
      </w:r>
      <w:r w:rsidRPr="00D1540F" w:rsidR="00F27BD8">
        <w:t xml:space="preserve"> of the SEC</w:t>
      </w:r>
      <w:r w:rsidRPr="00D1540F" w:rsidR="00683923">
        <w:t xml:space="preserve"> must be a graduate lawyer and have at least 10 years of </w:t>
      </w:r>
      <w:r w:rsidRPr="00D176C5" w:rsidR="00D176C5">
        <w:t>working experience in that line of work</w:t>
      </w:r>
      <w:r w:rsidRPr="00D1540F" w:rsidR="00683923">
        <w:t>, which is not a sufficient guarantee of expertise.</w:t>
      </w:r>
    </w:p>
    <w:p w:rsidRPr="00D1540F" w:rsidR="00D176C5" w:rsidP="00683923" w:rsidRDefault="00683923" w14:paraId="7A23B8BC" w14:textId="77FA5A09">
      <w:pPr>
        <w:jc w:val="both"/>
      </w:pPr>
      <w:r w:rsidRPr="00D1540F">
        <w:t>The other member of this body elected on the basis of a</w:t>
      </w:r>
      <w:r w:rsidR="00D176C5">
        <w:t>n open</w:t>
      </w:r>
      <w:r w:rsidRPr="00D1540F">
        <w:t xml:space="preserve"> competition, a civil society representative, has to fulfill much more stringent </w:t>
      </w:r>
      <w:r w:rsidRPr="00D1540F" w:rsidR="0002457E">
        <w:t>requirements</w:t>
      </w:r>
      <w:r w:rsidRPr="00D1540F">
        <w:t xml:space="preserve"> to prove his expertise in electoral law matters.</w:t>
      </w:r>
      <w:r w:rsidRPr="00D1540F" w:rsidR="00F27BD8">
        <w:rPr>
          <w:rStyle w:val="FootnoteReference"/>
        </w:rPr>
        <w:footnoteReference w:id="5"/>
      </w:r>
      <w:r w:rsidRPr="00D1540F">
        <w:t xml:space="preserve"> Thus, a civil society representative should be a person who published scientific papers and expert articles </w:t>
      </w:r>
      <w:r w:rsidRPr="00D176C5" w:rsidR="00D176C5">
        <w:t>on the topic of the election process</w:t>
      </w:r>
      <w:r w:rsidRPr="00D1540F">
        <w:t xml:space="preserve">, has gained public recognition in this field and has </w:t>
      </w:r>
      <w:r w:rsidRPr="00D176C5" w:rsidR="00D176C5">
        <w:t>took part in national or international mon</w:t>
      </w:r>
      <w:r w:rsidR="00D176C5">
        <w:t>itoring of the election processe</w:t>
      </w:r>
      <w:r w:rsidRPr="00D176C5" w:rsidR="00D176C5">
        <w:t>s</w:t>
      </w:r>
      <w:r w:rsidRPr="00D1540F">
        <w:t>. In addition, the Law requires</w:t>
      </w:r>
      <w:r w:rsidR="00A801B2">
        <w:t xml:space="preserve"> that,</w:t>
      </w:r>
      <w:r w:rsidRPr="00D1540F">
        <w:t xml:space="preserve"> </w:t>
      </w:r>
      <w:r w:rsidR="00A801B2">
        <w:t>w</w:t>
      </w:r>
      <w:r w:rsidRPr="00A801B2" w:rsidR="00A801B2">
        <w:t>hen endorsing proposals</w:t>
      </w:r>
      <w:r w:rsidR="00A801B2">
        <w:t>,</w:t>
      </w:r>
      <w:r w:rsidRPr="00A801B2" w:rsidR="00A801B2">
        <w:t xml:space="preserve"> </w:t>
      </w:r>
      <w:r w:rsidR="00A801B2">
        <w:t>the Administrative Board shall</w:t>
      </w:r>
      <w:r w:rsidRPr="00D1540F">
        <w:t xml:space="preserve"> </w:t>
      </w:r>
      <w:r w:rsidRPr="00A801B2" w:rsidR="00A801B2">
        <w:t>take into consideration recommendations of organizations which were involved in drafting electoral legislation and monitoring election processes over the past five years</w:t>
      </w:r>
      <w:r w:rsidR="00D11A59">
        <w:t>.</w:t>
      </w:r>
    </w:p>
    <w:p w:rsidRPr="00D1540F" w:rsidR="00683923" w:rsidP="00683923" w:rsidRDefault="00683923" w14:paraId="754544C7" w14:textId="05D9BDA1">
      <w:pPr>
        <w:jc w:val="both"/>
      </w:pPr>
      <w:r w:rsidRPr="00D1540F">
        <w:t xml:space="preserve">It is a very unusual and unjustified solution that foresees </w:t>
      </w:r>
      <w:r w:rsidRPr="00B04DC4" w:rsidR="00B04DC4">
        <w:t xml:space="preserve">more stringent requirements </w:t>
      </w:r>
      <w:r w:rsidRPr="00D1540F">
        <w:t xml:space="preserve">for </w:t>
      </w:r>
      <w:r w:rsidR="00BA4DA4">
        <w:t>e</w:t>
      </w:r>
      <w:r w:rsidRPr="00D1540F">
        <w:t xml:space="preserve">lection of a member than a </w:t>
      </w:r>
      <w:r w:rsidR="001F527E">
        <w:t>chairperson</w:t>
      </w:r>
      <w:r w:rsidRPr="00D1540F">
        <w:t xml:space="preserve"> of a body. In addition, such a legal solution enables the </w:t>
      </w:r>
      <w:r w:rsidRPr="00D1540F" w:rsidR="0002457E">
        <w:t xml:space="preserve">SEC </w:t>
      </w:r>
      <w:r w:rsidR="001F527E">
        <w:t>chairperson</w:t>
      </w:r>
      <w:r w:rsidRPr="00D1540F">
        <w:t xml:space="preserve"> to have no knowledge of electoral legislation or electoral process.</w:t>
      </w:r>
    </w:p>
    <w:p w:rsidRPr="00D1540F" w:rsidR="00683923" w:rsidP="00683923" w:rsidRDefault="0002457E" w14:paraId="5599A9F0" w14:textId="691BC315">
      <w:pPr>
        <w:jc w:val="both"/>
        <w:rPr>
          <w:i/>
        </w:rPr>
      </w:pPr>
      <w:r w:rsidRPr="00D1540F">
        <w:rPr>
          <w:i/>
        </w:rPr>
        <w:t xml:space="preserve">Is it legally forbidden </w:t>
      </w:r>
      <w:r w:rsidRPr="00D1540F" w:rsidR="00683923">
        <w:rPr>
          <w:i/>
        </w:rPr>
        <w:t>for</w:t>
      </w:r>
      <w:r w:rsidRPr="00D1540F">
        <w:rPr>
          <w:i/>
        </w:rPr>
        <w:t xml:space="preserve"> a SEC </w:t>
      </w:r>
      <w:r w:rsidR="001F527E">
        <w:rPr>
          <w:i/>
        </w:rPr>
        <w:t>chairperson</w:t>
      </w:r>
      <w:r w:rsidRPr="00D1540F">
        <w:rPr>
          <w:i/>
        </w:rPr>
        <w:t xml:space="preserve"> to belong to a political</w:t>
      </w:r>
      <w:r w:rsidRPr="00D1540F" w:rsidR="00683923">
        <w:rPr>
          <w:i/>
        </w:rPr>
        <w:t xml:space="preserve"> part</w:t>
      </w:r>
      <w:r w:rsidRPr="00D1540F">
        <w:rPr>
          <w:i/>
        </w:rPr>
        <w:t>y</w:t>
      </w:r>
      <w:r w:rsidRPr="00D1540F" w:rsidR="00683923">
        <w:rPr>
          <w:i/>
        </w:rPr>
        <w:t>?</w:t>
      </w:r>
    </w:p>
    <w:p w:rsidRPr="00D1540F" w:rsidR="00683923" w:rsidP="00683923" w:rsidRDefault="00F32446" w14:paraId="03194FF5" w14:textId="222EA48F">
      <w:pPr>
        <w:jc w:val="both"/>
      </w:pPr>
      <w:r w:rsidRPr="00D1540F">
        <w:t>Fulfillment</w:t>
      </w:r>
      <w:r w:rsidRPr="00D1540F" w:rsidR="00683923">
        <w:t xml:space="preserve"> of this indicator was estimated at 0.25, because the existing legal solution, </w:t>
      </w:r>
      <w:r w:rsidRPr="00D41A97" w:rsidR="00D41A97">
        <w:t>although</w:t>
      </w:r>
      <w:r w:rsidR="00D41A97">
        <w:t xml:space="preserve"> it is</w:t>
      </w:r>
      <w:r w:rsidRPr="00D1540F" w:rsidR="00683923">
        <w:t xml:space="preserve"> addressing this issue, does not guarantee political impartiality of the </w:t>
      </w:r>
      <w:r w:rsidRPr="00D1540F" w:rsidR="00F679BE">
        <w:t xml:space="preserve">SEC </w:t>
      </w:r>
      <w:r w:rsidR="001F527E">
        <w:t>chairperson</w:t>
      </w:r>
      <w:r w:rsidRPr="00D1540F" w:rsidR="00683923">
        <w:t>.</w:t>
      </w:r>
    </w:p>
    <w:p w:rsidR="00683923" w:rsidP="00683923" w:rsidRDefault="00683923" w14:paraId="50F44258" w14:textId="5F5F3F57">
      <w:pPr>
        <w:jc w:val="both"/>
      </w:pPr>
      <w:r w:rsidRPr="00D1540F">
        <w:t xml:space="preserve">Namely, this person </w:t>
      </w:r>
      <w:r w:rsidRPr="00BA4DA4" w:rsidR="00BA4DA4">
        <w:t>may not have been a member of a political party managing body during the last three years</w:t>
      </w:r>
      <w:r w:rsidRPr="00D1540F">
        <w:t xml:space="preserve">. This means that </w:t>
      </w:r>
      <w:r w:rsidRPr="00D1540F" w:rsidR="00F679BE">
        <w:t xml:space="preserve">the SEC </w:t>
      </w:r>
      <w:r w:rsidR="001F527E">
        <w:t>chairperson</w:t>
      </w:r>
      <w:r w:rsidRPr="00D1540F" w:rsidR="00F679BE">
        <w:t xml:space="preserve"> </w:t>
      </w:r>
      <w:r w:rsidRPr="00D1540F">
        <w:t xml:space="preserve">can be a member of a political party, even its </w:t>
      </w:r>
      <w:r w:rsidRPr="00D1540F" w:rsidR="00F32446">
        <w:t>official;</w:t>
      </w:r>
      <w:r w:rsidRPr="00D1540F">
        <w:t xml:space="preserve"> </w:t>
      </w:r>
      <w:r w:rsidRPr="00D1540F" w:rsidR="00F679BE">
        <w:t xml:space="preserve">he </w:t>
      </w:r>
      <w:r w:rsidRPr="00D1540F" w:rsidR="004105F1">
        <w:t>only</w:t>
      </w:r>
      <w:r w:rsidR="004105F1">
        <w:t xml:space="preserve"> </w:t>
      </w:r>
      <w:r w:rsidR="00BA4DA4">
        <w:t>must not</w:t>
      </w:r>
      <w:r w:rsidRPr="00D1540F">
        <w:t xml:space="preserve"> be a member of the </w:t>
      </w:r>
      <w:r w:rsidRPr="00D1540F" w:rsidR="00F679BE">
        <w:t>manag</w:t>
      </w:r>
      <w:r w:rsidR="00BA4DA4">
        <w:t>ing</w:t>
      </w:r>
      <w:r w:rsidRPr="00D1540F" w:rsidR="00F679BE">
        <w:t xml:space="preserve"> body</w:t>
      </w:r>
      <w:r w:rsidRPr="00D1540F">
        <w:t>. Likewise, the three-year period is to</w:t>
      </w:r>
      <w:r w:rsidR="00BA4DA4">
        <w:t xml:space="preserve">o short to guarantee </w:t>
      </w:r>
      <w:r w:rsidRPr="00D1540F">
        <w:t xml:space="preserve">political neutrality of the </w:t>
      </w:r>
      <w:r w:rsidRPr="00D1540F" w:rsidR="00F679BE">
        <w:t xml:space="preserve">SEC </w:t>
      </w:r>
      <w:r w:rsidR="001F527E">
        <w:t>chairperson</w:t>
      </w:r>
      <w:r w:rsidRPr="00D1540F">
        <w:t xml:space="preserve">. On the other hand, </w:t>
      </w:r>
      <w:r w:rsidR="00BA4DA4">
        <w:t>p</w:t>
      </w:r>
      <w:r w:rsidRPr="00BA4DA4" w:rsidR="00BA4DA4">
        <w:t xml:space="preserve">ersons who performed the office of a political party body member during the previous 10 years may not be appointed member of the </w:t>
      </w:r>
      <w:r w:rsidR="00BA4DA4">
        <w:t>SEC</w:t>
      </w:r>
      <w:r w:rsidRPr="00BA4DA4" w:rsidR="00BA4DA4">
        <w:t xml:space="preserve"> composition </w:t>
      </w:r>
      <w:r w:rsidRPr="00D1540F" w:rsidR="00BA4DA4">
        <w:t>from civil society</w:t>
      </w:r>
      <w:r w:rsidRPr="00D1540F">
        <w:t xml:space="preserve">. </w:t>
      </w:r>
      <w:r w:rsidRPr="00D1540F" w:rsidR="00F679BE">
        <w:t>T</w:t>
      </w:r>
      <w:r w:rsidRPr="00D1540F">
        <w:t>he question</w:t>
      </w:r>
      <w:r w:rsidRPr="00D1540F" w:rsidR="00F679BE">
        <w:t xml:space="preserve"> here is</w:t>
      </w:r>
      <w:r w:rsidRPr="00D1540F">
        <w:t xml:space="preserve"> why a member must meet </w:t>
      </w:r>
      <w:r w:rsidRPr="006A07F2" w:rsidR="006A07F2">
        <w:t xml:space="preserve">more stringent requirements </w:t>
      </w:r>
      <w:r w:rsidRPr="00D1540F" w:rsidR="00F679BE">
        <w:t xml:space="preserve">than a </w:t>
      </w:r>
      <w:r w:rsidR="001F527E">
        <w:t>chairperson</w:t>
      </w:r>
      <w:r w:rsidRPr="00D1540F">
        <w:t>.</w:t>
      </w:r>
    </w:p>
    <w:p w:rsidRPr="00D1540F" w:rsidR="00683923" w:rsidP="00683923" w:rsidRDefault="00683923" w14:paraId="249DC43A" w14:textId="5C58D86A">
      <w:pPr>
        <w:jc w:val="both"/>
        <w:rPr>
          <w:i/>
        </w:rPr>
      </w:pPr>
      <w:r w:rsidRPr="00D1540F">
        <w:rPr>
          <w:i/>
        </w:rPr>
        <w:t xml:space="preserve">Is there a constitutional or legal guarantee that protects </w:t>
      </w:r>
      <w:r w:rsidRPr="00D1540F" w:rsidR="00F679BE">
        <w:rPr>
          <w:i/>
        </w:rPr>
        <w:t xml:space="preserve">the SEC </w:t>
      </w:r>
      <w:r w:rsidR="001F527E">
        <w:rPr>
          <w:i/>
        </w:rPr>
        <w:t>chairperson</w:t>
      </w:r>
      <w:r w:rsidRPr="00D1540F">
        <w:rPr>
          <w:i/>
        </w:rPr>
        <w:t xml:space="preserve"> from arbitrary </w:t>
      </w:r>
      <w:r w:rsidRPr="00D1540F" w:rsidR="00F679BE">
        <w:rPr>
          <w:i/>
        </w:rPr>
        <w:t>dismissal</w:t>
      </w:r>
      <w:r w:rsidRPr="00D1540F">
        <w:rPr>
          <w:i/>
        </w:rPr>
        <w:t>?</w:t>
      </w:r>
    </w:p>
    <w:p w:rsidRPr="00D1540F" w:rsidR="00683923" w:rsidP="00683923" w:rsidRDefault="00F679BE" w14:paraId="537DB312" w14:textId="7E7494E8">
      <w:pPr>
        <w:jc w:val="both"/>
      </w:pPr>
      <w:r w:rsidRPr="00D1540F">
        <w:t>F</w:t>
      </w:r>
      <w:r w:rsidRPr="00D1540F" w:rsidR="00683923">
        <w:t xml:space="preserve">ulfillment of this indicator </w:t>
      </w:r>
      <w:r w:rsidRPr="00D1540F">
        <w:t xml:space="preserve">was estimated at </w:t>
      </w:r>
      <w:r w:rsidRPr="00D1540F" w:rsidR="00683923">
        <w:t xml:space="preserve">0 because there is no constitutional or legal guarantee that protects </w:t>
      </w:r>
      <w:r w:rsidRPr="00D1540F">
        <w:t xml:space="preserve">the SEC </w:t>
      </w:r>
      <w:r w:rsidR="001F527E">
        <w:t>chairperson</w:t>
      </w:r>
      <w:r w:rsidRPr="00D1540F">
        <w:t xml:space="preserve"> from arbitrary dismissal</w:t>
      </w:r>
      <w:r w:rsidRPr="00D1540F" w:rsidR="00683923">
        <w:t>.</w:t>
      </w:r>
    </w:p>
    <w:p w:rsidRPr="00D1540F" w:rsidR="00683923" w:rsidP="00683923" w:rsidRDefault="00683923" w14:paraId="6961E29E" w14:textId="3A6DD3BB">
      <w:pPr>
        <w:jc w:val="both"/>
      </w:pPr>
      <w:r w:rsidRPr="00D1540F">
        <w:t xml:space="preserve">The </w:t>
      </w:r>
      <w:r w:rsidR="00BA4DA4">
        <w:t>chairperson</w:t>
      </w:r>
      <w:r w:rsidRPr="00D1540F">
        <w:t xml:space="preserve">'s dismissal procedure is not prescribed, but the analogy leads to the </w:t>
      </w:r>
      <w:r w:rsidRPr="00D1540F" w:rsidR="00F679BE">
        <w:t xml:space="preserve">situation where the </w:t>
      </w:r>
      <w:r w:rsidRPr="00D1540F">
        <w:t xml:space="preserve">one who </w:t>
      </w:r>
      <w:r w:rsidRPr="00D1540F" w:rsidR="00F679BE">
        <w:t>appoints</w:t>
      </w:r>
      <w:r w:rsidRPr="00D1540F">
        <w:t xml:space="preserve"> </w:t>
      </w:r>
      <w:r w:rsidRPr="00D1540F" w:rsidR="00F679BE">
        <w:t xml:space="preserve">also </w:t>
      </w:r>
      <w:r w:rsidRPr="00D1540F">
        <w:t xml:space="preserve">dismisses in the same procedure. Thus, the </w:t>
      </w:r>
      <w:r w:rsidRPr="00D1540F" w:rsidR="00F679BE">
        <w:t xml:space="preserve">SEC </w:t>
      </w:r>
      <w:r w:rsidR="001F527E">
        <w:t>chairperson</w:t>
      </w:r>
      <w:r w:rsidRPr="00D1540F">
        <w:t xml:space="preserve"> can</w:t>
      </w:r>
      <w:r w:rsidRPr="00D1540F" w:rsidR="00F679BE">
        <w:t xml:space="preserve"> be dismissed by</w:t>
      </w:r>
      <w:r w:rsidRPr="00D1540F">
        <w:t xml:space="preserve"> </w:t>
      </w:r>
      <w:r w:rsidRPr="00D1540F" w:rsidR="00F679BE">
        <w:t>the P</w:t>
      </w:r>
      <w:r w:rsidRPr="00D1540F">
        <w:t>arliament, by simp</w:t>
      </w:r>
      <w:r w:rsidRPr="00D1540F" w:rsidR="00F679BE">
        <w:t xml:space="preserve">le majority, at any time. This </w:t>
      </w:r>
      <w:r w:rsidRPr="00D1540F" w:rsidR="00F32446">
        <w:t>refers</w:t>
      </w:r>
      <w:r w:rsidRPr="00D1540F">
        <w:t xml:space="preserve"> also to other members</w:t>
      </w:r>
      <w:r w:rsidRPr="00D1540F" w:rsidR="00F679BE">
        <w:t xml:space="preserve"> of the SEC</w:t>
      </w:r>
      <w:r w:rsidRPr="00D1540F">
        <w:t>.</w:t>
      </w:r>
    </w:p>
    <w:p w:rsidRPr="00D1540F" w:rsidR="00683923" w:rsidP="00683923" w:rsidRDefault="00F679BE" w14:paraId="10A178F6" w14:textId="22241C90">
      <w:pPr>
        <w:jc w:val="both"/>
        <w:rPr>
          <w:b/>
          <w:bCs/>
        </w:rPr>
      </w:pPr>
      <w:r w:rsidRPr="00D1540F">
        <w:rPr>
          <w:b/>
          <w:bCs/>
        </w:rPr>
        <w:t xml:space="preserve">Capacities that are just being built </w:t>
      </w:r>
      <w:r w:rsidRPr="00D1540F" w:rsidR="00683923">
        <w:rPr>
          <w:b/>
          <w:bCs/>
        </w:rPr>
        <w:t>- 28.6% of the set parameters met</w:t>
      </w:r>
    </w:p>
    <w:p w:rsidRPr="00D1540F" w:rsidR="00683923" w:rsidP="00683923" w:rsidRDefault="00683923" w14:paraId="3D398392" w14:textId="0E43A329">
      <w:pPr>
        <w:jc w:val="both"/>
        <w:rPr>
          <w:bCs/>
          <w:i/>
        </w:rPr>
      </w:pPr>
      <w:r w:rsidRPr="00D1540F">
        <w:rPr>
          <w:bCs/>
          <w:i/>
        </w:rPr>
        <w:lastRenderedPageBreak/>
        <w:t xml:space="preserve">After several years of inactivity, </w:t>
      </w:r>
      <w:r w:rsidRPr="00D1540F" w:rsidR="001011AE">
        <w:rPr>
          <w:bCs/>
          <w:i/>
        </w:rPr>
        <w:t>the SEC</w:t>
      </w:r>
      <w:r w:rsidRPr="00D1540F">
        <w:rPr>
          <w:bCs/>
          <w:i/>
        </w:rPr>
        <w:t xml:space="preserve"> began building its capacity. </w:t>
      </w:r>
      <w:r w:rsidR="00F32446">
        <w:rPr>
          <w:bCs/>
          <w:i/>
        </w:rPr>
        <w:t>It started with</w:t>
      </w:r>
      <w:r w:rsidRPr="00D1540F">
        <w:rPr>
          <w:bCs/>
          <w:i/>
        </w:rPr>
        <w:t xml:space="preserve"> training</w:t>
      </w:r>
      <w:r w:rsidRPr="00D1540F" w:rsidR="001011AE">
        <w:rPr>
          <w:bCs/>
          <w:i/>
        </w:rPr>
        <w:t>s for the employees</w:t>
      </w:r>
      <w:r w:rsidRPr="00D1540F">
        <w:rPr>
          <w:bCs/>
          <w:i/>
        </w:rPr>
        <w:t xml:space="preserve"> and lower levels of electoral administration, as well as voter education campaigns. The coverage of the training program is still inadequate, </w:t>
      </w:r>
      <w:r w:rsidR="00146798">
        <w:rPr>
          <w:bCs/>
          <w:i/>
        </w:rPr>
        <w:t xml:space="preserve">it </w:t>
      </w:r>
      <w:r w:rsidRPr="00D1540F">
        <w:rPr>
          <w:bCs/>
          <w:i/>
        </w:rPr>
        <w:t xml:space="preserve">includes a small number of topics and </w:t>
      </w:r>
      <w:r w:rsidR="00146798">
        <w:rPr>
          <w:bCs/>
          <w:i/>
        </w:rPr>
        <w:t>its beneficiaries are</w:t>
      </w:r>
      <w:r w:rsidRPr="00D1540F">
        <w:rPr>
          <w:bCs/>
          <w:i/>
        </w:rPr>
        <w:t xml:space="preserve"> solely from the electoral administration, not </w:t>
      </w:r>
      <w:r w:rsidR="00146798">
        <w:rPr>
          <w:bCs/>
          <w:i/>
        </w:rPr>
        <w:t>from the political</w:t>
      </w:r>
      <w:r w:rsidRPr="00D1540F">
        <w:rPr>
          <w:bCs/>
          <w:i/>
        </w:rPr>
        <w:t xml:space="preserve"> parties, candidates, media and NGOs. These activities are carried out with the donor and professional support of international </w:t>
      </w:r>
      <w:r w:rsidRPr="00D1540F" w:rsidR="00F32446">
        <w:rPr>
          <w:bCs/>
          <w:i/>
        </w:rPr>
        <w:t>organizations</w:t>
      </w:r>
      <w:r w:rsidRPr="00D1540F">
        <w:rPr>
          <w:bCs/>
          <w:i/>
        </w:rPr>
        <w:t xml:space="preserve"> and their sustainability after project closure is uncertain. </w:t>
      </w:r>
      <w:r w:rsidRPr="00D1540F" w:rsidR="001011AE">
        <w:rPr>
          <w:bCs/>
          <w:i/>
        </w:rPr>
        <w:t>The SEC</w:t>
      </w:r>
      <w:r w:rsidRPr="00D1540F">
        <w:rPr>
          <w:bCs/>
          <w:i/>
        </w:rPr>
        <w:t xml:space="preserve"> has improved its ICT capacities, but still relies on the support of the </w:t>
      </w:r>
      <w:r w:rsidRPr="00D1540F" w:rsidR="001011AE">
        <w:rPr>
          <w:bCs/>
          <w:i/>
        </w:rPr>
        <w:t xml:space="preserve">Service of the </w:t>
      </w:r>
      <w:r w:rsidRPr="00D1540F">
        <w:rPr>
          <w:bCs/>
          <w:i/>
        </w:rPr>
        <w:t>Montenegrin</w:t>
      </w:r>
      <w:r w:rsidRPr="00D1540F" w:rsidR="001011AE">
        <w:rPr>
          <w:bCs/>
          <w:i/>
        </w:rPr>
        <w:t xml:space="preserve"> Parliament</w:t>
      </w:r>
      <w:r w:rsidRPr="00D1540F">
        <w:rPr>
          <w:bCs/>
          <w:i/>
        </w:rPr>
        <w:t>.</w:t>
      </w:r>
    </w:p>
    <w:p w:rsidRPr="00D1540F" w:rsidR="00683923" w:rsidP="00683923" w:rsidRDefault="00683923" w14:paraId="7023DAD5" w14:textId="65F2792C">
      <w:pPr>
        <w:jc w:val="both"/>
        <w:rPr>
          <w:i/>
        </w:rPr>
      </w:pPr>
      <w:r w:rsidRPr="00D1540F">
        <w:rPr>
          <w:i/>
        </w:rPr>
        <w:t xml:space="preserve">How often </w:t>
      </w:r>
      <w:r w:rsidRPr="00D1540F" w:rsidR="001011AE">
        <w:rPr>
          <w:i/>
        </w:rPr>
        <w:t>does the SEC</w:t>
      </w:r>
      <w:r w:rsidRPr="00D1540F">
        <w:rPr>
          <w:i/>
        </w:rPr>
        <w:t xml:space="preserve"> organize training programs for its employees?</w:t>
      </w:r>
    </w:p>
    <w:p w:rsidRPr="00D1540F" w:rsidR="00683923" w:rsidP="00683923" w:rsidRDefault="00F32446" w14:paraId="2A8F09CD" w14:textId="44C3A713">
      <w:pPr>
        <w:jc w:val="both"/>
      </w:pPr>
      <w:r w:rsidRPr="00D1540F">
        <w:t>Fulfillment</w:t>
      </w:r>
      <w:r w:rsidRPr="00D1540F" w:rsidR="00683923">
        <w:t xml:space="preserve"> of this indicator </w:t>
      </w:r>
      <w:r w:rsidR="001F527E">
        <w:t>was estimated at</w:t>
      </w:r>
      <w:r w:rsidRPr="00D1540F" w:rsidR="00683923">
        <w:t xml:space="preserve"> 0.5</w:t>
      </w:r>
      <w:r w:rsidR="00442BAD">
        <w:t>,</w:t>
      </w:r>
      <w:r w:rsidR="00571503">
        <w:t xml:space="preserve"> </w:t>
      </w:r>
      <w:r w:rsidRPr="00D1540F" w:rsidR="00683923">
        <w:t xml:space="preserve">because </w:t>
      </w:r>
      <w:r w:rsidRPr="00D1540F" w:rsidR="001011AE">
        <w:t>the SEC</w:t>
      </w:r>
      <w:r w:rsidRPr="00D1540F" w:rsidR="00683923">
        <w:t xml:space="preserve"> occasionally organizes training programs for its employees.</w:t>
      </w:r>
    </w:p>
    <w:p w:rsidRPr="00D1540F" w:rsidR="00683923" w:rsidP="00683923" w:rsidRDefault="00683923" w14:paraId="6F5227E8" w14:textId="17FD6E04">
      <w:pPr>
        <w:jc w:val="both"/>
      </w:pPr>
      <w:r w:rsidRPr="00D1540F">
        <w:t xml:space="preserve">The </w:t>
      </w:r>
      <w:r w:rsidRPr="00D1540F" w:rsidR="001011AE">
        <w:t>SEC</w:t>
      </w:r>
      <w:r w:rsidR="005200DB">
        <w:t xml:space="preserve"> Plan for 2018 envisages “</w:t>
      </w:r>
      <w:r w:rsidRPr="00D1540F">
        <w:t xml:space="preserve">Continuous Professional Training of </w:t>
      </w:r>
      <w:r w:rsidRPr="00D1540F" w:rsidR="001011AE">
        <w:t>the Professional Service</w:t>
      </w:r>
      <w:r w:rsidR="005200DB">
        <w:t>”</w:t>
      </w:r>
      <w:r w:rsidRPr="00D1540F">
        <w:t xml:space="preserve">. However, </w:t>
      </w:r>
      <w:r w:rsidRPr="00C214FD" w:rsidR="00C214FD">
        <w:t xml:space="preserve">when you need to identify what </w:t>
      </w:r>
      <w:r w:rsidR="00C214FD">
        <w:t>are the</w:t>
      </w:r>
      <w:r w:rsidRPr="00C214FD" w:rsidR="00C214FD">
        <w:t xml:space="preserve"> specific training </w:t>
      </w:r>
      <w:r w:rsidRPr="00D1540F">
        <w:t>activities, the response can only be found in the part of the document describing the activities that are being implemented within the OSCE Support Program. This p</w:t>
      </w:r>
      <w:r w:rsidRPr="00D1540F" w:rsidR="001011AE">
        <w:t xml:space="preserve">rogram envisages workshops for </w:t>
      </w:r>
      <w:r w:rsidRPr="00D1540F">
        <w:t>preparation of the Electi</w:t>
      </w:r>
      <w:r w:rsidRPr="00D1540F" w:rsidR="001011AE">
        <w:t>on</w:t>
      </w:r>
      <w:r w:rsidRPr="00D1540F">
        <w:t xml:space="preserve"> Operational, Strategic and Communication Plan, as well as training on gender equality.</w:t>
      </w:r>
    </w:p>
    <w:p w:rsidRPr="00D1540F" w:rsidR="00683923" w:rsidP="00683923" w:rsidRDefault="00683923" w14:paraId="5445C324" w14:textId="76D127E3">
      <w:pPr>
        <w:jc w:val="both"/>
        <w:rPr>
          <w:i/>
        </w:rPr>
      </w:pPr>
      <w:r w:rsidRPr="00D1540F">
        <w:rPr>
          <w:i/>
        </w:rPr>
        <w:t xml:space="preserve">How often </w:t>
      </w:r>
      <w:r w:rsidRPr="00D1540F" w:rsidR="001011AE">
        <w:rPr>
          <w:i/>
        </w:rPr>
        <w:t>does the SEC organize</w:t>
      </w:r>
      <w:r w:rsidRPr="00D1540F">
        <w:rPr>
          <w:i/>
        </w:rPr>
        <w:t xml:space="preserve"> training programs for electoral administration at lower levels?</w:t>
      </w:r>
    </w:p>
    <w:p w:rsidRPr="00D1540F" w:rsidR="00683923" w:rsidP="00683923" w:rsidRDefault="00F32446" w14:paraId="135C16AB" w14:textId="274C8B28">
      <w:pPr>
        <w:jc w:val="both"/>
      </w:pPr>
      <w:r w:rsidRPr="00D1540F">
        <w:t>Fulfillment</w:t>
      </w:r>
      <w:r w:rsidRPr="00D1540F" w:rsidR="001011AE">
        <w:t xml:space="preserve"> of this indicator </w:t>
      </w:r>
      <w:r w:rsidR="00C214FD">
        <w:t xml:space="preserve">was estimated at 0.5, </w:t>
      </w:r>
      <w:r w:rsidRPr="00D1540F" w:rsidR="00683923">
        <w:t xml:space="preserve">because </w:t>
      </w:r>
      <w:r w:rsidRPr="00D1540F" w:rsidR="00364A98">
        <w:t>the SEC</w:t>
      </w:r>
      <w:r w:rsidRPr="00D1540F" w:rsidR="00683923">
        <w:t xml:space="preserve"> organize</w:t>
      </w:r>
      <w:r w:rsidRPr="00D1540F" w:rsidR="00364A98">
        <w:t>s</w:t>
      </w:r>
      <w:r w:rsidRPr="00D1540F" w:rsidR="00683923">
        <w:t xml:space="preserve"> trainings for polling </w:t>
      </w:r>
      <w:r w:rsidRPr="00D1540F" w:rsidR="00364A98">
        <w:t>boards</w:t>
      </w:r>
      <w:r w:rsidRPr="00C214FD" w:rsidR="00C214FD">
        <w:t xml:space="preserve"> </w:t>
      </w:r>
      <w:r w:rsidRPr="00D1540F" w:rsidR="00C214FD">
        <w:t>during the election period</w:t>
      </w:r>
      <w:r w:rsidRPr="00D1540F" w:rsidR="00683923">
        <w:t>.</w:t>
      </w:r>
    </w:p>
    <w:p w:rsidRPr="00D1540F" w:rsidR="00683923" w:rsidP="00683923" w:rsidRDefault="00683923" w14:paraId="4EDE68C0" w14:textId="0CDCD619">
      <w:pPr>
        <w:jc w:val="both"/>
      </w:pPr>
      <w:r w:rsidRPr="00D1540F">
        <w:t xml:space="preserve">After numerous requests by domestic and international organizations, in 2016, before the parliamentary elections, </w:t>
      </w:r>
      <w:r w:rsidRPr="00D1540F" w:rsidR="00364A98">
        <w:t>the SEC</w:t>
      </w:r>
      <w:r w:rsidRPr="00D1540F">
        <w:t xml:space="preserve"> conducted</w:t>
      </w:r>
      <w:r w:rsidR="005200DB">
        <w:t xml:space="preserve"> for the first time</w:t>
      </w:r>
      <w:r w:rsidRPr="00D1540F">
        <w:t xml:space="preserve"> a training program for the </w:t>
      </w:r>
      <w:r w:rsidR="001F527E">
        <w:t>chairperson</w:t>
      </w:r>
      <w:r w:rsidRPr="00D1540F">
        <w:t xml:space="preserve"> and members of the </w:t>
      </w:r>
      <w:r w:rsidRPr="00D1540F" w:rsidR="00364A98">
        <w:t>polling boards</w:t>
      </w:r>
      <w:r w:rsidRPr="00D1540F">
        <w:t xml:space="preserve">. The training program and supporting materials have been prepared with the support of the OSCE. The </w:t>
      </w:r>
      <w:r w:rsidRPr="00D1540F" w:rsidR="00364A98">
        <w:t>SEC</w:t>
      </w:r>
      <w:r w:rsidRPr="00D1540F">
        <w:t xml:space="preserve"> chose a group of </w:t>
      </w:r>
      <w:r w:rsidRPr="00D1540F" w:rsidR="00364A98">
        <w:t>trainers</w:t>
      </w:r>
      <w:r w:rsidRPr="00D1540F">
        <w:t xml:space="preserve"> and </w:t>
      </w:r>
      <w:r w:rsidRPr="00D1540F" w:rsidR="00364A98">
        <w:t>educators in a</w:t>
      </w:r>
      <w:r w:rsidR="005200DB">
        <w:t>n open</w:t>
      </w:r>
      <w:r w:rsidRPr="00D1540F" w:rsidR="00364A98">
        <w:t xml:space="preserve"> competition</w:t>
      </w:r>
      <w:r w:rsidRPr="00D1540F">
        <w:t xml:space="preserve"> who, after </w:t>
      </w:r>
      <w:r w:rsidRPr="00D1540F" w:rsidR="00C85AD9">
        <w:t xml:space="preserve">the </w:t>
      </w:r>
      <w:r w:rsidRPr="00D1540F">
        <w:t xml:space="preserve">training, conducted further training on the field. </w:t>
      </w:r>
      <w:r w:rsidRPr="00D1540F" w:rsidR="00C85AD9">
        <w:t>The SEC</w:t>
      </w:r>
      <w:r w:rsidRPr="00D1540F">
        <w:t xml:space="preserve"> repeated this approach for the 2018 presidential election</w:t>
      </w:r>
      <w:r w:rsidR="005200DB">
        <w:t>s</w:t>
      </w:r>
      <w:r w:rsidRPr="00D1540F">
        <w:t>.</w:t>
      </w:r>
    </w:p>
    <w:p w:rsidRPr="00D1540F" w:rsidR="00683923" w:rsidP="00683923" w:rsidRDefault="00683923" w14:paraId="4565644B" w14:textId="19C0FF57">
      <w:pPr>
        <w:jc w:val="both"/>
      </w:pPr>
      <w:r w:rsidRPr="00D1540F">
        <w:t>However, training is organized only in periods immediately before the election</w:t>
      </w:r>
      <w:r w:rsidR="00EB6392">
        <w:t>s</w:t>
      </w:r>
      <w:r w:rsidRPr="00D1540F">
        <w:t xml:space="preserve">, </w:t>
      </w:r>
      <w:r w:rsidRPr="00D1540F" w:rsidR="00C85AD9">
        <w:t xml:space="preserve">and </w:t>
      </w:r>
      <w:r w:rsidRPr="00D1540F">
        <w:t xml:space="preserve">only for members of the polling </w:t>
      </w:r>
      <w:r w:rsidRPr="00D1540F" w:rsidR="00C85AD9">
        <w:t>boards</w:t>
      </w:r>
      <w:r w:rsidRPr="00D1540F">
        <w:t xml:space="preserve"> on voting procedures. </w:t>
      </w:r>
      <w:r w:rsidRPr="00D1540F" w:rsidR="00C85AD9">
        <w:t>The SEC</w:t>
      </w:r>
      <w:r w:rsidRPr="00D1540F">
        <w:t xml:space="preserve"> does not have mechanisms to provide the presence of invited members of the electoral administration. </w:t>
      </w:r>
      <w:r w:rsidRPr="00D1540F" w:rsidR="00C85AD9">
        <w:t>Moreover</w:t>
      </w:r>
      <w:r w:rsidRPr="00D1540F">
        <w:t>, after the training has taken place, no verification of the knowledge or certification of the training p</w:t>
      </w:r>
      <w:r w:rsidR="001C11A3">
        <w:t>articipants is carried out so</w:t>
      </w:r>
      <w:r w:rsidRPr="00D1540F">
        <w:t xml:space="preserve"> the effects of this activity are not known.</w:t>
      </w:r>
    </w:p>
    <w:p w:rsidRPr="00D1540F" w:rsidR="00683923" w:rsidP="00683923" w:rsidRDefault="00C85AD9" w14:paraId="0C3261F1" w14:textId="5846BE2E">
      <w:pPr>
        <w:jc w:val="both"/>
      </w:pPr>
      <w:r w:rsidRPr="00D1540F">
        <w:t xml:space="preserve">There are even fewer </w:t>
      </w:r>
      <w:r w:rsidRPr="00D1540F" w:rsidR="00683923">
        <w:t>training programs</w:t>
      </w:r>
      <w:r w:rsidRPr="00D1540F">
        <w:t xml:space="preserve"> for the MECs</w:t>
      </w:r>
      <w:r w:rsidRPr="00D1540F" w:rsidR="00683923">
        <w:t xml:space="preserve">. The </w:t>
      </w:r>
      <w:r w:rsidRPr="00D1540F">
        <w:t>SEC Work</w:t>
      </w:r>
      <w:r w:rsidRPr="00D1540F" w:rsidR="00683923">
        <w:t xml:space="preserve"> Plan for 2018 provides for a workshop on development of an </w:t>
      </w:r>
      <w:r w:rsidRPr="00D1540F">
        <w:t>operational plan</w:t>
      </w:r>
      <w:r w:rsidRPr="00D1540F" w:rsidR="00683923">
        <w:t xml:space="preserve"> and training on gender equality</w:t>
      </w:r>
      <w:r w:rsidRPr="00D1540F">
        <w:t xml:space="preserve"> </w:t>
      </w:r>
      <w:r w:rsidRPr="00D1540F" w:rsidR="00F32446">
        <w:t>with</w:t>
      </w:r>
      <w:r w:rsidRPr="00D1540F">
        <w:t xml:space="preserve"> MECs</w:t>
      </w:r>
      <w:r w:rsidRPr="00D1540F" w:rsidR="00683923">
        <w:t>.</w:t>
      </w:r>
    </w:p>
    <w:p w:rsidRPr="00D1540F" w:rsidR="00683923" w:rsidP="00683923" w:rsidRDefault="00683923" w14:paraId="0ABD5A35" w14:textId="2CFADBA1">
      <w:pPr>
        <w:jc w:val="both"/>
        <w:rPr>
          <w:i/>
        </w:rPr>
      </w:pPr>
      <w:r w:rsidRPr="00D1540F">
        <w:rPr>
          <w:i/>
        </w:rPr>
        <w:t xml:space="preserve">How often </w:t>
      </w:r>
      <w:r w:rsidRPr="00D1540F" w:rsidR="004F737D">
        <w:rPr>
          <w:i/>
        </w:rPr>
        <w:t xml:space="preserve">does </w:t>
      </w:r>
      <w:r w:rsidR="00EB6392">
        <w:rPr>
          <w:i/>
        </w:rPr>
        <w:t xml:space="preserve">the </w:t>
      </w:r>
      <w:r w:rsidRPr="00D1540F" w:rsidR="004F737D">
        <w:rPr>
          <w:i/>
        </w:rPr>
        <w:t>SEC organize</w:t>
      </w:r>
      <w:r w:rsidRPr="00D1540F">
        <w:rPr>
          <w:i/>
        </w:rPr>
        <w:t xml:space="preserve"> training programs for political parties and candidates?</w:t>
      </w:r>
    </w:p>
    <w:p w:rsidRPr="00D1540F" w:rsidR="00683923" w:rsidP="00683923" w:rsidRDefault="00F32446" w14:paraId="1D3A59F4" w14:textId="1C1062EE">
      <w:pPr>
        <w:jc w:val="both"/>
      </w:pPr>
      <w:r w:rsidRPr="00D1540F">
        <w:t>Fulfillment</w:t>
      </w:r>
      <w:r w:rsidRPr="00D1540F" w:rsidR="004F737D">
        <w:t xml:space="preserve"> of</w:t>
      </w:r>
      <w:r w:rsidRPr="00D1540F" w:rsidR="00683923">
        <w:t xml:space="preserve"> this indicator </w:t>
      </w:r>
      <w:r w:rsidR="001F527E">
        <w:t>was estimated at</w:t>
      </w:r>
      <w:r w:rsidRPr="00D1540F" w:rsidR="00683923">
        <w:t xml:space="preserve"> 0</w:t>
      </w:r>
      <w:r w:rsidR="001C11A3">
        <w:t>,</w:t>
      </w:r>
      <w:r w:rsidRPr="00D1540F" w:rsidR="00683923">
        <w:t xml:space="preserve"> because </w:t>
      </w:r>
      <w:r w:rsidRPr="00D1540F" w:rsidR="004F737D">
        <w:t>the SEC</w:t>
      </w:r>
      <w:r w:rsidRPr="00D1540F" w:rsidR="00683923">
        <w:t xml:space="preserve"> does not organize training</w:t>
      </w:r>
      <w:r w:rsidRPr="00D1540F" w:rsidR="004F737D">
        <w:t>s</w:t>
      </w:r>
      <w:r w:rsidRPr="00D1540F" w:rsidR="00683923">
        <w:t xml:space="preserve"> for political parties and candidates.</w:t>
      </w:r>
    </w:p>
    <w:p w:rsidRPr="00D1540F" w:rsidR="00683923" w:rsidP="00683923" w:rsidRDefault="00683923" w14:paraId="6299B00B" w14:textId="2EC87F10">
      <w:pPr>
        <w:jc w:val="both"/>
        <w:rPr>
          <w:i/>
        </w:rPr>
      </w:pPr>
      <w:r w:rsidRPr="00D1540F">
        <w:rPr>
          <w:i/>
        </w:rPr>
        <w:t xml:space="preserve">How often </w:t>
      </w:r>
      <w:r w:rsidRPr="00D1540F" w:rsidR="004F737D">
        <w:rPr>
          <w:i/>
        </w:rPr>
        <w:t>does the SEC organize</w:t>
      </w:r>
      <w:r w:rsidRPr="00D1540F">
        <w:rPr>
          <w:i/>
        </w:rPr>
        <w:t xml:space="preserve"> training programs for NGOs and </w:t>
      </w:r>
      <w:r w:rsidR="00EB6392">
        <w:rPr>
          <w:i/>
        </w:rPr>
        <w:t xml:space="preserve">the </w:t>
      </w:r>
      <w:r w:rsidRPr="00D1540F">
        <w:rPr>
          <w:i/>
        </w:rPr>
        <w:t>media?</w:t>
      </w:r>
    </w:p>
    <w:p w:rsidRPr="00D1540F" w:rsidR="00683923" w:rsidP="00683923" w:rsidRDefault="00F32446" w14:paraId="3D037DFF" w14:textId="3BB01263">
      <w:pPr>
        <w:jc w:val="both"/>
      </w:pPr>
      <w:r w:rsidRPr="00D1540F">
        <w:t>Fulfillment</w:t>
      </w:r>
      <w:r w:rsidRPr="00D1540F" w:rsidR="004F737D">
        <w:t xml:space="preserve"> of this indicator </w:t>
      </w:r>
      <w:r w:rsidR="001F527E">
        <w:t>was estimated at</w:t>
      </w:r>
      <w:r w:rsidRPr="00D1540F" w:rsidR="004F737D">
        <w:t xml:space="preserve"> </w:t>
      </w:r>
      <w:r w:rsidRPr="00D1540F" w:rsidR="00683923">
        <w:t>0</w:t>
      </w:r>
      <w:r w:rsidR="001C11A3">
        <w:t>,</w:t>
      </w:r>
      <w:r w:rsidRPr="00D1540F" w:rsidR="00683923">
        <w:t xml:space="preserve"> </w:t>
      </w:r>
      <w:r w:rsidRPr="00D1540F" w:rsidR="004F737D">
        <w:t xml:space="preserve">because the SEC does not organize </w:t>
      </w:r>
      <w:r w:rsidRPr="00D1540F" w:rsidR="00683923">
        <w:t>training</w:t>
      </w:r>
      <w:r w:rsidRPr="00D1540F" w:rsidR="004F737D">
        <w:t>s for the media</w:t>
      </w:r>
      <w:r w:rsidRPr="00D1540F" w:rsidR="00683923">
        <w:t xml:space="preserve"> and NGOs.</w:t>
      </w:r>
    </w:p>
    <w:p w:rsidRPr="00D1540F" w:rsidR="00683923" w:rsidP="00683923" w:rsidRDefault="004F737D" w14:paraId="3EBFD349" w14:textId="47C69E76">
      <w:pPr>
        <w:jc w:val="both"/>
      </w:pPr>
      <w:r w:rsidRPr="00D1540F">
        <w:lastRenderedPageBreak/>
        <w:t>The SEC</w:t>
      </w:r>
      <w:r w:rsidRPr="00D1540F" w:rsidR="00236E20">
        <w:t xml:space="preserve"> is</w:t>
      </w:r>
      <w:r w:rsidRPr="00D1540F" w:rsidR="00683923">
        <w:t xml:space="preserve"> not </w:t>
      </w:r>
      <w:r w:rsidRPr="00D1540F" w:rsidR="00236E20">
        <w:t>establishing</w:t>
      </w:r>
      <w:r w:rsidRPr="00D1540F" w:rsidR="00683923">
        <w:t xml:space="preserve"> relations with NGOs except in their capacity of authorized election observers, within the period from the day of obtaining the authori</w:t>
      </w:r>
      <w:r w:rsidR="00EB6392">
        <w:t>zation</w:t>
      </w:r>
      <w:r w:rsidRPr="00D1540F" w:rsidR="00683923">
        <w:t xml:space="preserve"> until the day of the proclamation of official results.</w:t>
      </w:r>
    </w:p>
    <w:p w:rsidRPr="00D1540F" w:rsidR="004F737D" w:rsidP="004F737D" w:rsidRDefault="004F737D" w14:paraId="48E2BA4C" w14:textId="6E8507F3">
      <w:pPr>
        <w:jc w:val="both"/>
        <w:rPr>
          <w:rFonts w:eastAsiaTheme="minorEastAsia"/>
          <w:i/>
        </w:rPr>
      </w:pPr>
      <w:r w:rsidRPr="00D1540F">
        <w:rPr>
          <w:rFonts w:eastAsiaTheme="minorEastAsia"/>
          <w:i/>
        </w:rPr>
        <w:t>Does the SEC have a</w:t>
      </w:r>
      <w:r w:rsidR="00EB6392">
        <w:rPr>
          <w:rFonts w:eastAsiaTheme="minorEastAsia"/>
          <w:i/>
        </w:rPr>
        <w:t xml:space="preserve"> special department for organization of</w:t>
      </w:r>
      <w:r w:rsidRPr="00D1540F">
        <w:rPr>
          <w:rFonts w:eastAsiaTheme="minorEastAsia"/>
          <w:i/>
        </w:rPr>
        <w:t xml:space="preserve"> trainings?</w:t>
      </w:r>
    </w:p>
    <w:p w:rsidRPr="00D1540F" w:rsidR="004F737D" w:rsidP="004F737D" w:rsidRDefault="00F32446" w14:paraId="3D11C961" w14:textId="6954023C">
      <w:pPr>
        <w:jc w:val="both"/>
        <w:rPr>
          <w:rFonts w:eastAsiaTheme="minorEastAsia"/>
        </w:rPr>
      </w:pPr>
      <w:r w:rsidRPr="00D1540F">
        <w:rPr>
          <w:rFonts w:eastAsiaTheme="minorEastAsia"/>
        </w:rPr>
        <w:t>Fulfillment</w:t>
      </w:r>
      <w:r w:rsidRPr="00D1540F" w:rsidR="004F737D">
        <w:rPr>
          <w:rFonts w:eastAsiaTheme="minorEastAsia"/>
        </w:rPr>
        <w:t xml:space="preserve"> of this indicator </w:t>
      </w:r>
      <w:r w:rsidR="001F527E">
        <w:rPr>
          <w:rFonts w:eastAsiaTheme="minorEastAsia"/>
        </w:rPr>
        <w:t>was estimated at</w:t>
      </w:r>
      <w:r w:rsidRPr="00D1540F" w:rsidR="004F737D">
        <w:rPr>
          <w:rFonts w:eastAsiaTheme="minorEastAsia"/>
        </w:rPr>
        <w:t xml:space="preserve"> 0</w:t>
      </w:r>
      <w:r w:rsidR="006F34D7">
        <w:rPr>
          <w:rFonts w:eastAsiaTheme="minorEastAsia"/>
        </w:rPr>
        <w:t>,</w:t>
      </w:r>
      <w:r w:rsidRPr="00D1540F" w:rsidR="004F737D">
        <w:rPr>
          <w:rFonts w:eastAsiaTheme="minorEastAsia"/>
        </w:rPr>
        <w:t xml:space="preserve"> because the SEC has no special department or officer for organizing trainings. </w:t>
      </w:r>
      <w:r w:rsidR="00EB6392">
        <w:rPr>
          <w:rFonts w:eastAsiaTheme="minorEastAsia"/>
        </w:rPr>
        <w:t>D</w:t>
      </w:r>
      <w:r w:rsidRPr="00D1540F" w:rsidR="00EB6392">
        <w:rPr>
          <w:rFonts w:eastAsiaTheme="minorEastAsia"/>
        </w:rPr>
        <w:t>uring the election period</w:t>
      </w:r>
      <w:r w:rsidRPr="00D1540F" w:rsidR="004F737D">
        <w:rPr>
          <w:rFonts w:eastAsiaTheme="minorEastAsia"/>
        </w:rPr>
        <w:t xml:space="preserve">, one officer is </w:t>
      </w:r>
      <w:r w:rsidR="00EB6392">
        <w:rPr>
          <w:rFonts w:eastAsiaTheme="minorEastAsia"/>
        </w:rPr>
        <w:t xml:space="preserve">made </w:t>
      </w:r>
      <w:r w:rsidRPr="00D1540F" w:rsidR="004F737D">
        <w:rPr>
          <w:rFonts w:eastAsiaTheme="minorEastAsia"/>
        </w:rPr>
        <w:t xml:space="preserve">responsible </w:t>
      </w:r>
      <w:r w:rsidR="00EB6392">
        <w:rPr>
          <w:rFonts w:eastAsiaTheme="minorEastAsia"/>
        </w:rPr>
        <w:t>b</w:t>
      </w:r>
      <w:r w:rsidRPr="00D1540F" w:rsidR="00EB6392">
        <w:rPr>
          <w:rFonts w:eastAsiaTheme="minorEastAsia"/>
        </w:rPr>
        <w:t xml:space="preserve">y an internal decision </w:t>
      </w:r>
      <w:r w:rsidRPr="00D1540F" w:rsidR="004F737D">
        <w:rPr>
          <w:rFonts w:eastAsiaTheme="minorEastAsia"/>
        </w:rPr>
        <w:t>for coordinating and implementing the training program for the polling boards.</w:t>
      </w:r>
    </w:p>
    <w:p w:rsidRPr="00D1540F" w:rsidR="00683923" w:rsidP="00683923" w:rsidRDefault="00683923" w14:paraId="7F524280" w14:textId="0238E621">
      <w:pPr>
        <w:jc w:val="both"/>
        <w:rPr>
          <w:rFonts w:eastAsiaTheme="minorEastAsia"/>
          <w:i/>
        </w:rPr>
      </w:pPr>
      <w:r w:rsidRPr="00D1540F">
        <w:rPr>
          <w:rFonts w:eastAsiaTheme="minorEastAsia"/>
          <w:i/>
        </w:rPr>
        <w:t xml:space="preserve">Does </w:t>
      </w:r>
      <w:r w:rsidRPr="00D1540F" w:rsidR="009F09E6">
        <w:rPr>
          <w:rFonts w:eastAsiaTheme="minorEastAsia"/>
          <w:i/>
        </w:rPr>
        <w:t>the SEC</w:t>
      </w:r>
      <w:r w:rsidRPr="00D1540F">
        <w:rPr>
          <w:rFonts w:eastAsiaTheme="minorEastAsia"/>
          <w:i/>
        </w:rPr>
        <w:t xml:space="preserve"> offer a wide range of training topics?</w:t>
      </w:r>
    </w:p>
    <w:p w:rsidRPr="00D1540F" w:rsidR="00683923" w:rsidP="00683923" w:rsidRDefault="00F32446" w14:paraId="064E0E6E" w14:textId="750527CD">
      <w:pPr>
        <w:jc w:val="both"/>
        <w:rPr>
          <w:rFonts w:eastAsiaTheme="minorEastAsia"/>
        </w:rPr>
      </w:pPr>
      <w:r w:rsidRPr="00D1540F">
        <w:rPr>
          <w:rFonts w:eastAsiaTheme="minorEastAsia"/>
        </w:rPr>
        <w:t>Fulfillment</w:t>
      </w:r>
      <w:r w:rsidRPr="00D1540F" w:rsidR="004F737D">
        <w:rPr>
          <w:rFonts w:eastAsiaTheme="minorEastAsia"/>
        </w:rPr>
        <w:t xml:space="preserve"> of this indicator </w:t>
      </w:r>
      <w:r w:rsidR="001F527E">
        <w:rPr>
          <w:rFonts w:eastAsiaTheme="minorEastAsia"/>
        </w:rPr>
        <w:t>was estimated at</w:t>
      </w:r>
      <w:r w:rsidRPr="00D1540F" w:rsidR="004F737D">
        <w:rPr>
          <w:rFonts w:eastAsiaTheme="minorEastAsia"/>
        </w:rPr>
        <w:t xml:space="preserve"> </w:t>
      </w:r>
      <w:r w:rsidRPr="00D1540F" w:rsidR="00683923">
        <w:rPr>
          <w:rFonts w:eastAsiaTheme="minorEastAsia"/>
        </w:rPr>
        <w:t>0.5</w:t>
      </w:r>
      <w:r w:rsidR="006F34D7">
        <w:rPr>
          <w:rFonts w:eastAsiaTheme="minorEastAsia"/>
        </w:rPr>
        <w:t>,</w:t>
      </w:r>
      <w:r w:rsidRPr="00D1540F" w:rsidR="00683923">
        <w:rPr>
          <w:rFonts w:eastAsiaTheme="minorEastAsia"/>
        </w:rPr>
        <w:t xml:space="preserve"> because it can be concluded </w:t>
      </w:r>
      <w:r w:rsidRPr="00D1540F" w:rsidR="006F34D7">
        <w:rPr>
          <w:rFonts w:eastAsiaTheme="minorEastAsia"/>
        </w:rPr>
        <w:t xml:space="preserve">from the available plans and practice </w:t>
      </w:r>
      <w:r w:rsidRPr="00D1540F" w:rsidR="00683923">
        <w:rPr>
          <w:rFonts w:eastAsiaTheme="minorEastAsia"/>
        </w:rPr>
        <w:t xml:space="preserve">that </w:t>
      </w:r>
      <w:r w:rsidRPr="00D1540F" w:rsidR="009F09E6">
        <w:rPr>
          <w:rFonts w:eastAsiaTheme="minorEastAsia"/>
        </w:rPr>
        <w:t xml:space="preserve">the SEC </w:t>
      </w:r>
      <w:r w:rsidRPr="00D1540F" w:rsidR="00683923">
        <w:rPr>
          <w:rFonts w:eastAsiaTheme="minorEastAsia"/>
        </w:rPr>
        <w:t xml:space="preserve">does not offer a wide range of training topics. </w:t>
      </w:r>
      <w:r w:rsidRPr="00D1540F" w:rsidR="009F09E6">
        <w:rPr>
          <w:rFonts w:eastAsiaTheme="minorEastAsia"/>
        </w:rPr>
        <w:t>The SEC</w:t>
      </w:r>
      <w:r w:rsidRPr="00D1540F" w:rsidR="00683923">
        <w:rPr>
          <w:rFonts w:eastAsiaTheme="minorEastAsia"/>
        </w:rPr>
        <w:t xml:space="preserve"> has developed </w:t>
      </w:r>
      <w:r w:rsidRPr="00D1540F" w:rsidR="009F09E6">
        <w:rPr>
          <w:rFonts w:eastAsiaTheme="minorEastAsia"/>
        </w:rPr>
        <w:t xml:space="preserve">only </w:t>
      </w:r>
      <w:r w:rsidRPr="00D1540F" w:rsidR="00683923">
        <w:rPr>
          <w:rFonts w:eastAsiaTheme="minorEastAsia"/>
        </w:rPr>
        <w:t xml:space="preserve">a training program </w:t>
      </w:r>
      <w:r w:rsidRPr="00D1540F" w:rsidR="009F09E6">
        <w:rPr>
          <w:rFonts w:eastAsiaTheme="minorEastAsia"/>
        </w:rPr>
        <w:t xml:space="preserve">on </w:t>
      </w:r>
      <w:r w:rsidRPr="00D1540F" w:rsidR="00683923">
        <w:rPr>
          <w:rFonts w:eastAsiaTheme="minorEastAsia"/>
        </w:rPr>
        <w:t xml:space="preserve">voting procedures for </w:t>
      </w:r>
      <w:r w:rsidRPr="00D1540F" w:rsidR="009F09E6">
        <w:rPr>
          <w:rFonts w:eastAsiaTheme="minorEastAsia"/>
        </w:rPr>
        <w:t>polling boards</w:t>
      </w:r>
      <w:r w:rsidRPr="00D1540F" w:rsidR="00683923">
        <w:rPr>
          <w:rFonts w:eastAsiaTheme="minorEastAsia"/>
        </w:rPr>
        <w:t xml:space="preserve">, and training is </w:t>
      </w:r>
      <w:r w:rsidRPr="00D1540F" w:rsidR="009F09E6">
        <w:rPr>
          <w:rFonts w:eastAsiaTheme="minorEastAsia"/>
        </w:rPr>
        <w:t xml:space="preserve">carried out </w:t>
      </w:r>
      <w:r w:rsidRPr="00D1540F" w:rsidR="00683923">
        <w:rPr>
          <w:rFonts w:eastAsiaTheme="minorEastAsia"/>
        </w:rPr>
        <w:t>sporadic</w:t>
      </w:r>
      <w:r w:rsidRPr="00D1540F" w:rsidR="009F09E6">
        <w:rPr>
          <w:rFonts w:eastAsiaTheme="minorEastAsia"/>
        </w:rPr>
        <w:t>ally</w:t>
      </w:r>
      <w:r w:rsidRPr="00D1540F" w:rsidR="00683923">
        <w:rPr>
          <w:rFonts w:eastAsiaTheme="minorEastAsia"/>
        </w:rPr>
        <w:t xml:space="preserve"> on a limited number of other topics for members and services</w:t>
      </w:r>
      <w:r w:rsidRPr="00D1540F" w:rsidR="009F09E6">
        <w:rPr>
          <w:rFonts w:eastAsiaTheme="minorEastAsia"/>
        </w:rPr>
        <w:t xml:space="preserve"> of the SEC</w:t>
      </w:r>
      <w:r w:rsidRPr="00D1540F" w:rsidR="00683923">
        <w:rPr>
          <w:rFonts w:eastAsiaTheme="minorEastAsia"/>
        </w:rPr>
        <w:t>.</w:t>
      </w:r>
    </w:p>
    <w:p w:rsidRPr="00D1540F" w:rsidR="00683923" w:rsidP="00683923" w:rsidRDefault="009F09E6" w14:paraId="37950BF9" w14:textId="5390A6F6">
      <w:pPr>
        <w:jc w:val="both"/>
        <w:rPr>
          <w:rFonts w:eastAsiaTheme="minorEastAsia"/>
          <w:i/>
        </w:rPr>
      </w:pPr>
      <w:r w:rsidRPr="00D1540F">
        <w:rPr>
          <w:rFonts w:eastAsiaTheme="minorEastAsia"/>
          <w:i/>
        </w:rPr>
        <w:t xml:space="preserve">Is the SEC </w:t>
      </w:r>
      <w:r w:rsidRPr="00D1540F" w:rsidR="00683923">
        <w:rPr>
          <w:rFonts w:eastAsiaTheme="minorEastAsia"/>
          <w:i/>
        </w:rPr>
        <w:t>independently servicing technical support for elections when it comes to electoral technology?</w:t>
      </w:r>
    </w:p>
    <w:p w:rsidRPr="00D1540F" w:rsidR="00683923" w:rsidP="00683923" w:rsidRDefault="00F32446" w14:paraId="6BF91DC1" w14:textId="5EFACCD8">
      <w:pPr>
        <w:jc w:val="both"/>
        <w:rPr>
          <w:rFonts w:eastAsiaTheme="minorEastAsia"/>
        </w:rPr>
      </w:pPr>
      <w:r w:rsidRPr="00D1540F">
        <w:rPr>
          <w:rFonts w:eastAsiaTheme="minorEastAsia"/>
        </w:rPr>
        <w:t>Fulfillment</w:t>
      </w:r>
      <w:r w:rsidRPr="00D1540F" w:rsidR="009F09E6">
        <w:rPr>
          <w:rFonts w:eastAsiaTheme="minorEastAsia"/>
        </w:rPr>
        <w:t xml:space="preserve"> of this indicator </w:t>
      </w:r>
      <w:r w:rsidR="001F527E">
        <w:rPr>
          <w:rFonts w:eastAsiaTheme="minorEastAsia"/>
        </w:rPr>
        <w:t>was estimated at</w:t>
      </w:r>
      <w:r w:rsidRPr="00D1540F" w:rsidR="009F09E6">
        <w:rPr>
          <w:rFonts w:eastAsiaTheme="minorEastAsia"/>
        </w:rPr>
        <w:t xml:space="preserve"> </w:t>
      </w:r>
      <w:r w:rsidRPr="00D1540F" w:rsidR="00683923">
        <w:rPr>
          <w:rFonts w:eastAsiaTheme="minorEastAsia"/>
        </w:rPr>
        <w:t>0.5</w:t>
      </w:r>
      <w:r w:rsidR="001F78B7">
        <w:rPr>
          <w:rFonts w:eastAsiaTheme="minorEastAsia"/>
        </w:rPr>
        <w:t>,</w:t>
      </w:r>
      <w:r w:rsidRPr="00D1540F" w:rsidR="00683923">
        <w:rPr>
          <w:rFonts w:eastAsiaTheme="minorEastAsia"/>
        </w:rPr>
        <w:t xml:space="preserve"> because </w:t>
      </w:r>
      <w:r w:rsidRPr="00D1540F" w:rsidR="009F09E6">
        <w:rPr>
          <w:rFonts w:eastAsiaTheme="minorEastAsia"/>
        </w:rPr>
        <w:t xml:space="preserve">the SEC </w:t>
      </w:r>
      <w:r w:rsidRPr="00D1540F" w:rsidR="00683923">
        <w:rPr>
          <w:rFonts w:eastAsiaTheme="minorEastAsia"/>
        </w:rPr>
        <w:t xml:space="preserve">has improved the capacities of its ICT </w:t>
      </w:r>
      <w:r w:rsidRPr="00D1540F" w:rsidR="009F09E6">
        <w:rPr>
          <w:rFonts w:eastAsiaTheme="minorEastAsia"/>
        </w:rPr>
        <w:t>department</w:t>
      </w:r>
      <w:r w:rsidRPr="00D1540F" w:rsidR="00683923">
        <w:rPr>
          <w:rFonts w:eastAsiaTheme="minorEastAsia"/>
        </w:rPr>
        <w:t xml:space="preserve">, but it still has to rely on </w:t>
      </w:r>
      <w:r w:rsidRPr="00D1540F" w:rsidR="009F09E6">
        <w:rPr>
          <w:rFonts w:eastAsiaTheme="minorEastAsia"/>
        </w:rPr>
        <w:t xml:space="preserve">the </w:t>
      </w:r>
      <w:r w:rsidRPr="00D1540F" w:rsidR="00683923">
        <w:rPr>
          <w:rFonts w:eastAsiaTheme="minorEastAsia"/>
        </w:rPr>
        <w:t xml:space="preserve">support </w:t>
      </w:r>
      <w:r w:rsidRPr="00D1540F" w:rsidR="009F09E6">
        <w:rPr>
          <w:rFonts w:eastAsiaTheme="minorEastAsia"/>
        </w:rPr>
        <w:t xml:space="preserve">of </w:t>
      </w:r>
      <w:r w:rsidRPr="00D1540F" w:rsidR="00683923">
        <w:rPr>
          <w:rFonts w:eastAsiaTheme="minorEastAsia"/>
        </w:rPr>
        <w:t xml:space="preserve">the ICT service of the Montenegrin </w:t>
      </w:r>
      <w:r w:rsidRPr="00D1540F" w:rsidR="009F09E6">
        <w:rPr>
          <w:rFonts w:eastAsiaTheme="minorEastAsia"/>
        </w:rPr>
        <w:t>Parliament or to engage</w:t>
      </w:r>
      <w:r w:rsidRPr="00D1540F" w:rsidR="00683923">
        <w:rPr>
          <w:rFonts w:eastAsiaTheme="minorEastAsia"/>
        </w:rPr>
        <w:t xml:space="preserve"> external </w:t>
      </w:r>
      <w:r w:rsidRPr="00D1540F" w:rsidR="009F09E6">
        <w:rPr>
          <w:rFonts w:eastAsiaTheme="minorEastAsia"/>
        </w:rPr>
        <w:t>companies when it comes to certain complex matters</w:t>
      </w:r>
      <w:r w:rsidRPr="00D1540F" w:rsidR="00683923">
        <w:rPr>
          <w:rFonts w:eastAsiaTheme="minorEastAsia"/>
        </w:rPr>
        <w:t>.</w:t>
      </w:r>
    </w:p>
    <w:p w:rsidRPr="00D1540F" w:rsidR="00683923" w:rsidP="00683923" w:rsidRDefault="00683923" w14:paraId="36EC65E3" w14:textId="2DFC51D1">
      <w:pPr>
        <w:jc w:val="both"/>
        <w:rPr>
          <w:rFonts w:eastAsiaTheme="minorEastAsia"/>
        </w:rPr>
      </w:pPr>
      <w:r w:rsidRPr="00D1540F">
        <w:rPr>
          <w:rFonts w:eastAsiaTheme="minorEastAsia"/>
        </w:rPr>
        <w:t>After the 2016 election</w:t>
      </w:r>
      <w:r w:rsidR="00D24FFF">
        <w:rPr>
          <w:rFonts w:eastAsiaTheme="minorEastAsia"/>
        </w:rPr>
        <w:t>s</w:t>
      </w:r>
      <w:r w:rsidRPr="00D1540F">
        <w:rPr>
          <w:rFonts w:eastAsiaTheme="minorEastAsia"/>
        </w:rPr>
        <w:t xml:space="preserve">, a new internet site was launched, thus </w:t>
      </w:r>
      <w:r w:rsidRPr="00D1540F" w:rsidR="00770B78">
        <w:rPr>
          <w:rFonts w:eastAsiaTheme="minorEastAsia"/>
        </w:rPr>
        <w:t xml:space="preserve">the SEC </w:t>
      </w:r>
      <w:r w:rsidRPr="00D1540F">
        <w:rPr>
          <w:rFonts w:eastAsiaTheme="minorEastAsia"/>
        </w:rPr>
        <w:t xml:space="preserve">finally got a decent </w:t>
      </w:r>
      <w:r w:rsidR="001F78B7">
        <w:rPr>
          <w:rFonts w:eastAsiaTheme="minorEastAsia"/>
        </w:rPr>
        <w:t>presentation</w:t>
      </w:r>
      <w:r w:rsidRPr="00D1540F">
        <w:rPr>
          <w:rFonts w:eastAsiaTheme="minorEastAsia"/>
        </w:rPr>
        <w:t xml:space="preserve"> on the Internet. During the 2018 election</w:t>
      </w:r>
      <w:r w:rsidR="00D24FFF">
        <w:rPr>
          <w:rFonts w:eastAsiaTheme="minorEastAsia"/>
        </w:rPr>
        <w:t>s</w:t>
      </w:r>
      <w:r w:rsidRPr="00D1540F">
        <w:rPr>
          <w:rFonts w:eastAsiaTheme="minorEastAsia"/>
        </w:rPr>
        <w:t xml:space="preserve">, </w:t>
      </w:r>
      <w:r w:rsidR="00F32446">
        <w:rPr>
          <w:rFonts w:eastAsiaTheme="minorEastAsia"/>
        </w:rPr>
        <w:t>the SE</w:t>
      </w:r>
      <w:r w:rsidRPr="00D1540F" w:rsidR="00770B78">
        <w:rPr>
          <w:rFonts w:eastAsiaTheme="minorEastAsia"/>
        </w:rPr>
        <w:t xml:space="preserve">C </w:t>
      </w:r>
      <w:r w:rsidRPr="00D1540F">
        <w:rPr>
          <w:rFonts w:eastAsiaTheme="minorEastAsia"/>
        </w:rPr>
        <w:t>offered the public for the first time an internet application through which</w:t>
      </w:r>
      <w:r w:rsidR="00D24FFF">
        <w:rPr>
          <w:rFonts w:eastAsiaTheme="minorEastAsia"/>
        </w:rPr>
        <w:t xml:space="preserve"> the</w:t>
      </w:r>
      <w:r w:rsidRPr="00D1540F">
        <w:rPr>
          <w:rFonts w:eastAsiaTheme="minorEastAsia"/>
        </w:rPr>
        <w:t xml:space="preserve"> citizens could check if any of the candidates abused their candidacy support data.</w:t>
      </w:r>
      <w:r w:rsidRPr="00D1540F" w:rsidR="009F09E6">
        <w:rPr>
          <w:rStyle w:val="FootnoteReference"/>
          <w:rFonts w:eastAsiaTheme="minorEastAsia"/>
        </w:rPr>
        <w:footnoteReference w:id="6"/>
      </w:r>
      <w:r w:rsidRPr="00D1540F">
        <w:rPr>
          <w:rFonts w:eastAsiaTheme="minorEastAsia"/>
        </w:rPr>
        <w:t xml:space="preserve"> </w:t>
      </w:r>
      <w:r w:rsidRPr="00D1540F" w:rsidR="00770B78">
        <w:rPr>
          <w:rFonts w:eastAsiaTheme="minorEastAsia"/>
        </w:rPr>
        <w:t>Furthermore</w:t>
      </w:r>
      <w:r w:rsidRPr="00D1540F">
        <w:rPr>
          <w:rFonts w:eastAsiaTheme="minorEastAsia"/>
        </w:rPr>
        <w:t xml:space="preserve">, </w:t>
      </w:r>
      <w:r w:rsidRPr="00D1540F" w:rsidR="001F78B7">
        <w:rPr>
          <w:rFonts w:eastAsiaTheme="minorEastAsia"/>
        </w:rPr>
        <w:t xml:space="preserve">for the first time in the election night </w:t>
      </w:r>
      <w:r w:rsidRPr="00D1540F" w:rsidR="00770B78">
        <w:rPr>
          <w:rFonts w:eastAsiaTheme="minorEastAsia"/>
        </w:rPr>
        <w:t>the SEC</w:t>
      </w:r>
      <w:r w:rsidRPr="00D1540F">
        <w:rPr>
          <w:rFonts w:eastAsiaTheme="minorEastAsia"/>
        </w:rPr>
        <w:t xml:space="preserve"> had an Internet site allowing real-time access to the processed results from all polling </w:t>
      </w:r>
      <w:r w:rsidRPr="00D1540F" w:rsidR="00770B78">
        <w:rPr>
          <w:rFonts w:eastAsiaTheme="minorEastAsia"/>
        </w:rPr>
        <w:t>boards</w:t>
      </w:r>
      <w:r w:rsidRPr="00D1540F">
        <w:rPr>
          <w:rFonts w:eastAsiaTheme="minorEastAsia"/>
        </w:rPr>
        <w:t>.</w:t>
      </w:r>
      <w:r w:rsidRPr="00D1540F" w:rsidR="009F09E6">
        <w:rPr>
          <w:rStyle w:val="FootnoteReference"/>
          <w:rFonts w:eastAsiaTheme="minorEastAsia"/>
        </w:rPr>
        <w:footnoteReference w:id="7"/>
      </w:r>
      <w:r w:rsidRPr="00D1540F" w:rsidR="009F09E6">
        <w:rPr>
          <w:rFonts w:eastAsiaTheme="minorEastAsia"/>
        </w:rPr>
        <w:t xml:space="preserve"> </w:t>
      </w:r>
      <w:r w:rsidRPr="00D1540F">
        <w:rPr>
          <w:rFonts w:eastAsiaTheme="minorEastAsia"/>
        </w:rPr>
        <w:t xml:space="preserve">The public </w:t>
      </w:r>
      <w:r w:rsidRPr="00D1540F" w:rsidR="00770B78">
        <w:rPr>
          <w:rFonts w:eastAsiaTheme="minorEastAsia"/>
        </w:rPr>
        <w:t>could</w:t>
      </w:r>
      <w:r w:rsidRPr="00D1540F">
        <w:rPr>
          <w:rFonts w:eastAsiaTheme="minorEastAsia"/>
        </w:rPr>
        <w:t xml:space="preserve"> relatively quick</w:t>
      </w:r>
      <w:r w:rsidRPr="00D1540F" w:rsidR="00770B78">
        <w:rPr>
          <w:rFonts w:eastAsiaTheme="minorEastAsia"/>
        </w:rPr>
        <w:t>ly</w:t>
      </w:r>
      <w:r w:rsidRPr="00D1540F">
        <w:rPr>
          <w:rFonts w:eastAsiaTheme="minorEastAsia"/>
        </w:rPr>
        <w:t xml:space="preserve"> see all voting results at all polling stations, </w:t>
      </w:r>
      <w:r w:rsidRPr="00D1540F" w:rsidR="00770B78">
        <w:rPr>
          <w:rFonts w:eastAsiaTheme="minorEastAsia"/>
        </w:rPr>
        <w:t>which has made a major step forward with respect to</w:t>
      </w:r>
      <w:r w:rsidRPr="00D1540F">
        <w:rPr>
          <w:rFonts w:eastAsiaTheme="minorEastAsia"/>
        </w:rPr>
        <w:t xml:space="preserve"> the transparency of the electoral process.</w:t>
      </w:r>
    </w:p>
    <w:p w:rsidRPr="00D1540F" w:rsidR="00683923" w:rsidP="00683923" w:rsidRDefault="00D24FFF" w14:paraId="1E9256AF" w14:textId="14C46039">
      <w:pPr>
        <w:jc w:val="both"/>
        <w:rPr>
          <w:rFonts w:eastAsiaTheme="minorEastAsia"/>
          <w:b/>
        </w:rPr>
      </w:pPr>
      <w:r>
        <w:rPr>
          <w:rFonts w:eastAsiaTheme="minorEastAsia"/>
          <w:b/>
        </w:rPr>
        <w:t>Informing w</w:t>
      </w:r>
      <w:r w:rsidRPr="00D1540F" w:rsidR="00683923">
        <w:rPr>
          <w:rFonts w:eastAsiaTheme="minorEastAsia"/>
          <w:b/>
        </w:rPr>
        <w:t xml:space="preserve">ithout </w:t>
      </w:r>
      <w:r>
        <w:rPr>
          <w:rFonts w:eastAsiaTheme="minorEastAsia"/>
          <w:b/>
        </w:rPr>
        <w:t>i</w:t>
      </w:r>
      <w:r w:rsidRPr="00D1540F" w:rsidR="00683923">
        <w:rPr>
          <w:rFonts w:eastAsiaTheme="minorEastAsia"/>
          <w:b/>
        </w:rPr>
        <w:t xml:space="preserve">nformation - 40% </w:t>
      </w:r>
      <w:r w:rsidRPr="005425FB" w:rsidR="005425FB">
        <w:rPr>
          <w:rFonts w:eastAsiaTheme="minorEastAsia"/>
          <w:b/>
          <w:bCs/>
        </w:rPr>
        <w:t>of the set parameters met</w:t>
      </w:r>
    </w:p>
    <w:p w:rsidRPr="00D1540F" w:rsidR="00683923" w:rsidP="00683923" w:rsidRDefault="00683923" w14:paraId="6F143AB5" w14:textId="32E2DE3C">
      <w:pPr>
        <w:jc w:val="both"/>
        <w:rPr>
          <w:rFonts w:eastAsiaTheme="minorEastAsia"/>
        </w:rPr>
      </w:pPr>
      <w:r w:rsidRPr="00D1540F">
        <w:rPr>
          <w:rFonts w:eastAsiaTheme="minorEastAsia"/>
        </w:rPr>
        <w:t>Althou</w:t>
      </w:r>
      <w:r w:rsidR="00740C93">
        <w:rPr>
          <w:rFonts w:eastAsiaTheme="minorEastAsia"/>
        </w:rPr>
        <w:t>gh there are laws and by-laws on</w:t>
      </w:r>
      <w:r w:rsidRPr="00D1540F">
        <w:rPr>
          <w:rFonts w:eastAsiaTheme="minorEastAsia"/>
        </w:rPr>
        <w:t xml:space="preserve"> the </w:t>
      </w:r>
      <w:r w:rsidRPr="00D1540F" w:rsidR="0009710F">
        <w:rPr>
          <w:rFonts w:eastAsiaTheme="minorEastAsia"/>
        </w:rPr>
        <w:t>SEC</w:t>
      </w:r>
      <w:r w:rsidRPr="00D1540F">
        <w:rPr>
          <w:rFonts w:eastAsiaTheme="minorEastAsia"/>
        </w:rPr>
        <w:t xml:space="preserve"> website which contain rules for defining the rights of citizens in the electoral process, </w:t>
      </w:r>
      <w:r w:rsidRPr="00D1540F" w:rsidR="0009710F">
        <w:rPr>
          <w:rFonts w:eastAsiaTheme="minorEastAsia"/>
        </w:rPr>
        <w:t>the SEC</w:t>
      </w:r>
      <w:r w:rsidRPr="00D1540F">
        <w:rPr>
          <w:rFonts w:eastAsiaTheme="minorEastAsia"/>
        </w:rPr>
        <w:t xml:space="preserve"> does not pay enough attention to informing voters. </w:t>
      </w:r>
      <w:r w:rsidRPr="00D1540F" w:rsidR="0009710F">
        <w:rPr>
          <w:rFonts w:eastAsiaTheme="minorEastAsia"/>
        </w:rPr>
        <w:t>The SEC</w:t>
      </w:r>
      <w:r w:rsidRPr="00D1540F">
        <w:rPr>
          <w:rFonts w:eastAsiaTheme="minorEastAsia"/>
        </w:rPr>
        <w:t xml:space="preserve"> does not provide information on alternative voting methods, information relevant </w:t>
      </w:r>
      <w:r w:rsidRPr="00D1540F" w:rsidR="00236E20">
        <w:rPr>
          <w:rFonts w:eastAsiaTheme="minorEastAsia"/>
        </w:rPr>
        <w:t>for</w:t>
      </w:r>
      <w:r w:rsidRPr="00D1540F">
        <w:rPr>
          <w:rFonts w:eastAsiaTheme="minorEastAsia"/>
        </w:rPr>
        <w:t xml:space="preserve"> voting </w:t>
      </w:r>
      <w:r w:rsidRPr="00D1540F" w:rsidR="0009710F">
        <w:rPr>
          <w:rFonts w:eastAsiaTheme="minorEastAsia"/>
        </w:rPr>
        <w:t>of</w:t>
      </w:r>
      <w:r w:rsidRPr="00D1540F">
        <w:rPr>
          <w:rFonts w:eastAsiaTheme="minorEastAsia"/>
        </w:rPr>
        <w:t xml:space="preserve"> persons with disabilities, information </w:t>
      </w:r>
      <w:r w:rsidRPr="00D1540F" w:rsidR="0009710F">
        <w:rPr>
          <w:rFonts w:eastAsiaTheme="minorEastAsia"/>
        </w:rPr>
        <w:t>for</w:t>
      </w:r>
      <w:r w:rsidRPr="00D1540F">
        <w:rPr>
          <w:rFonts w:eastAsiaTheme="minorEastAsia"/>
        </w:rPr>
        <w:t xml:space="preserve"> voters </w:t>
      </w:r>
      <w:r w:rsidRPr="00D1540F" w:rsidR="0009710F">
        <w:rPr>
          <w:rFonts w:eastAsiaTheme="minorEastAsia"/>
        </w:rPr>
        <w:t xml:space="preserve">residing </w:t>
      </w:r>
      <w:r w:rsidRPr="00D1540F">
        <w:rPr>
          <w:rFonts w:eastAsiaTheme="minorEastAsia"/>
        </w:rPr>
        <w:t>abroad, nor information about what constitutes electoral ir</w:t>
      </w:r>
      <w:r w:rsidRPr="00D1540F" w:rsidR="0009710F">
        <w:rPr>
          <w:rFonts w:eastAsiaTheme="minorEastAsia"/>
        </w:rPr>
        <w:t>regularities and instructions on how to</w:t>
      </w:r>
      <w:r w:rsidRPr="00D1540F">
        <w:rPr>
          <w:rFonts w:eastAsiaTheme="minorEastAsia"/>
        </w:rPr>
        <w:t xml:space="preserve"> complain in the event of violations of electoral rights. </w:t>
      </w:r>
      <w:r w:rsidRPr="00D1540F" w:rsidR="00F32446">
        <w:rPr>
          <w:rFonts w:eastAsiaTheme="minorEastAsia"/>
        </w:rPr>
        <w:t>The only thing that the SEC has on its web</w:t>
      </w:r>
      <w:r w:rsidR="00F32446">
        <w:rPr>
          <w:rFonts w:eastAsiaTheme="minorEastAsia"/>
        </w:rPr>
        <w:t>site is</w:t>
      </w:r>
      <w:r w:rsidRPr="00D1540F" w:rsidR="00F32446">
        <w:rPr>
          <w:rFonts w:eastAsiaTheme="minorEastAsia"/>
        </w:rPr>
        <w:t xml:space="preserve"> information on the voting procedure, through materials prepared within an internationally supported project.</w:t>
      </w:r>
    </w:p>
    <w:p w:rsidRPr="00D1540F" w:rsidR="00683923" w:rsidP="0038641B" w:rsidRDefault="00683923" w14:paraId="761D285D" w14:textId="7A6B4FEB">
      <w:pPr>
        <w:jc w:val="both"/>
        <w:rPr>
          <w:rFonts w:eastAsiaTheme="minorEastAsia"/>
          <w:i/>
        </w:rPr>
      </w:pPr>
      <w:r w:rsidRPr="00D1540F">
        <w:rPr>
          <w:rFonts w:eastAsiaTheme="minorEastAsia"/>
          <w:i/>
        </w:rPr>
        <w:t xml:space="preserve">Does </w:t>
      </w:r>
      <w:r w:rsidRPr="00D1540F" w:rsidR="0009710F">
        <w:rPr>
          <w:rFonts w:eastAsiaTheme="minorEastAsia"/>
          <w:i/>
        </w:rPr>
        <w:t>the SEC</w:t>
      </w:r>
      <w:r w:rsidRPr="00D1540F">
        <w:rPr>
          <w:rFonts w:eastAsiaTheme="minorEastAsia"/>
          <w:i/>
        </w:rPr>
        <w:t xml:space="preserve"> website provide information on </w:t>
      </w:r>
      <w:r w:rsidRPr="00D1540F" w:rsidR="0009710F">
        <w:rPr>
          <w:rFonts w:eastAsiaTheme="minorEastAsia"/>
          <w:i/>
        </w:rPr>
        <w:t>the conditions for exercising voting</w:t>
      </w:r>
      <w:r w:rsidRPr="00D1540F">
        <w:rPr>
          <w:rFonts w:eastAsiaTheme="minorEastAsia"/>
          <w:i/>
        </w:rPr>
        <w:t xml:space="preserve"> rights?</w:t>
      </w:r>
    </w:p>
    <w:p w:rsidRPr="00D1540F" w:rsidR="00683923" w:rsidP="00683923" w:rsidRDefault="00F32446" w14:paraId="4279A0A7" w14:textId="5BA9309C">
      <w:pPr>
        <w:jc w:val="both"/>
        <w:rPr>
          <w:rFonts w:eastAsiaTheme="minorEastAsia"/>
        </w:rPr>
      </w:pPr>
      <w:r w:rsidRPr="00D1540F">
        <w:rPr>
          <w:rFonts w:eastAsiaTheme="minorEastAsia"/>
        </w:rPr>
        <w:t>Fulfillment</w:t>
      </w:r>
      <w:r w:rsidRPr="00D1540F" w:rsidR="00683923">
        <w:rPr>
          <w:rFonts w:eastAsiaTheme="minorEastAsia"/>
        </w:rPr>
        <w:t xml:space="preserve"> of this indicator </w:t>
      </w:r>
      <w:r w:rsidR="001F527E">
        <w:rPr>
          <w:rFonts w:eastAsiaTheme="minorEastAsia"/>
        </w:rPr>
        <w:t>was estimated at</w:t>
      </w:r>
      <w:r w:rsidR="00E43DEB">
        <w:rPr>
          <w:rFonts w:eastAsiaTheme="minorEastAsia"/>
        </w:rPr>
        <w:t xml:space="preserve"> 0.25, </w:t>
      </w:r>
      <w:r w:rsidRPr="00D1540F" w:rsidR="00683923">
        <w:rPr>
          <w:rFonts w:eastAsiaTheme="minorEastAsia"/>
        </w:rPr>
        <w:t>because the conditions for exercising the right to vote are defined by the Constitution o</w:t>
      </w:r>
      <w:r w:rsidR="00BF5D35">
        <w:rPr>
          <w:rFonts w:eastAsiaTheme="minorEastAsia"/>
        </w:rPr>
        <w:t xml:space="preserve">f Montenegro and the Law on </w:t>
      </w:r>
      <w:r w:rsidRPr="00D1540F" w:rsidR="00683923">
        <w:rPr>
          <w:rFonts w:eastAsiaTheme="minorEastAsia"/>
        </w:rPr>
        <w:t xml:space="preserve">Election of </w:t>
      </w:r>
      <w:r w:rsidRPr="00D1540F">
        <w:rPr>
          <w:rFonts w:eastAsiaTheme="minorEastAsia"/>
        </w:rPr>
        <w:t>Councilors</w:t>
      </w:r>
      <w:r w:rsidRPr="00D1540F" w:rsidR="00683923">
        <w:rPr>
          <w:rFonts w:eastAsiaTheme="minorEastAsia"/>
        </w:rPr>
        <w:t xml:space="preserve"> and </w:t>
      </w:r>
      <w:r w:rsidRPr="00D1540F" w:rsidR="0009710F">
        <w:rPr>
          <w:rFonts w:eastAsiaTheme="minorEastAsia"/>
        </w:rPr>
        <w:t>Representatives</w:t>
      </w:r>
      <w:r w:rsidRPr="00D1540F" w:rsidR="00683923">
        <w:rPr>
          <w:rFonts w:eastAsiaTheme="minorEastAsia"/>
        </w:rPr>
        <w:t xml:space="preserve">, which can be found on the </w:t>
      </w:r>
      <w:r w:rsidRPr="00D1540F" w:rsidR="0009710F">
        <w:rPr>
          <w:rFonts w:eastAsiaTheme="minorEastAsia"/>
        </w:rPr>
        <w:t xml:space="preserve">SEC </w:t>
      </w:r>
      <w:r w:rsidRPr="00D1540F" w:rsidR="00683923">
        <w:rPr>
          <w:rFonts w:eastAsiaTheme="minorEastAsia"/>
        </w:rPr>
        <w:t xml:space="preserve">website. However, this information </w:t>
      </w:r>
      <w:r w:rsidRPr="00D1540F">
        <w:rPr>
          <w:rFonts w:eastAsiaTheme="minorEastAsia"/>
        </w:rPr>
        <w:t>cannot</w:t>
      </w:r>
      <w:r w:rsidRPr="00D1540F" w:rsidR="00683923">
        <w:rPr>
          <w:rFonts w:eastAsiaTheme="minorEastAsia"/>
        </w:rPr>
        <w:t xml:space="preserve"> be found in </w:t>
      </w:r>
      <w:r w:rsidRPr="00D1540F" w:rsidR="00683923">
        <w:rPr>
          <w:rFonts w:eastAsiaTheme="minorEastAsia"/>
        </w:rPr>
        <w:lastRenderedPageBreak/>
        <w:t xml:space="preserve">a form that is better accessible and </w:t>
      </w:r>
      <w:r w:rsidRPr="00D1540F" w:rsidR="00E92E74">
        <w:rPr>
          <w:rFonts w:eastAsiaTheme="minorEastAsia"/>
        </w:rPr>
        <w:t xml:space="preserve">more </w:t>
      </w:r>
      <w:r w:rsidRPr="00D1540F" w:rsidR="00683923">
        <w:rPr>
          <w:rFonts w:eastAsiaTheme="minorEastAsia"/>
        </w:rPr>
        <w:t xml:space="preserve">understandable to citizens, but </w:t>
      </w:r>
      <w:r w:rsidRPr="00D1540F" w:rsidR="00D13CC4">
        <w:rPr>
          <w:rFonts w:eastAsiaTheme="minorEastAsia"/>
        </w:rPr>
        <w:t>the</w:t>
      </w:r>
      <w:r w:rsidR="00BF5D35">
        <w:rPr>
          <w:rFonts w:eastAsiaTheme="minorEastAsia"/>
        </w:rPr>
        <w:t xml:space="preserve"> citizens a</w:t>
      </w:r>
      <w:r w:rsidRPr="00D1540F" w:rsidR="00D13CC4">
        <w:rPr>
          <w:rFonts w:eastAsiaTheme="minorEastAsia"/>
        </w:rPr>
        <w:t>re</w:t>
      </w:r>
      <w:r w:rsidRPr="00D1540F" w:rsidR="00683923">
        <w:rPr>
          <w:rFonts w:eastAsiaTheme="minorEastAsia"/>
        </w:rPr>
        <w:t xml:space="preserve"> expected </w:t>
      </w:r>
      <w:r w:rsidRPr="00BF5D35" w:rsidR="00BF5D35">
        <w:rPr>
          <w:rFonts w:eastAsiaTheme="minorEastAsia"/>
        </w:rPr>
        <w:t xml:space="preserve">to search for themselves </w:t>
      </w:r>
      <w:r w:rsidRPr="00D1540F" w:rsidR="00D13CC4">
        <w:rPr>
          <w:rFonts w:eastAsiaTheme="minorEastAsia"/>
        </w:rPr>
        <w:t>articles of</w:t>
      </w:r>
      <w:r w:rsidRPr="00D1540F" w:rsidR="00683923">
        <w:rPr>
          <w:rFonts w:eastAsiaTheme="minorEastAsia"/>
        </w:rPr>
        <w:t xml:space="preserve"> the Constitution and the laws that deal with this area.</w:t>
      </w:r>
    </w:p>
    <w:p w:rsidRPr="00D1540F" w:rsidR="0038641B" w:rsidP="0038641B" w:rsidRDefault="0038641B" w14:paraId="155523D9" w14:textId="14358E55">
      <w:pPr>
        <w:jc w:val="both"/>
        <w:rPr>
          <w:rFonts w:eastAsiaTheme="minorEastAsia"/>
          <w:i/>
        </w:rPr>
      </w:pPr>
      <w:r w:rsidRPr="00D1540F">
        <w:rPr>
          <w:rFonts w:eastAsiaTheme="minorEastAsia"/>
          <w:i/>
        </w:rPr>
        <w:t xml:space="preserve">Does </w:t>
      </w:r>
      <w:r w:rsidRPr="00D1540F" w:rsidR="002A4965">
        <w:rPr>
          <w:rFonts w:eastAsiaTheme="minorEastAsia"/>
          <w:i/>
        </w:rPr>
        <w:t>the SEC</w:t>
      </w:r>
      <w:r w:rsidRPr="00D1540F">
        <w:rPr>
          <w:rFonts w:eastAsiaTheme="minorEastAsia"/>
          <w:i/>
        </w:rPr>
        <w:t xml:space="preserve"> website provide information on alternative voting methods, </w:t>
      </w:r>
      <w:r w:rsidR="00BF5D35">
        <w:rPr>
          <w:rFonts w:eastAsiaTheme="minorEastAsia"/>
          <w:i/>
        </w:rPr>
        <w:t>apart from voting</w:t>
      </w:r>
      <w:r w:rsidRPr="00D1540F">
        <w:rPr>
          <w:rFonts w:eastAsiaTheme="minorEastAsia"/>
          <w:i/>
        </w:rPr>
        <w:t xml:space="preserve"> in a polling station (by letter)?</w:t>
      </w:r>
    </w:p>
    <w:p w:rsidRPr="00D1540F" w:rsidR="0038641B" w:rsidP="0038641B" w:rsidRDefault="00F32446" w14:paraId="7E4D03AF" w14:textId="46ECEFE4">
      <w:pPr>
        <w:jc w:val="both"/>
        <w:rPr>
          <w:rFonts w:eastAsiaTheme="minorEastAsia"/>
        </w:rPr>
      </w:pPr>
      <w:r w:rsidRPr="00D1540F">
        <w:rPr>
          <w:rFonts w:eastAsiaTheme="minorEastAsia"/>
        </w:rPr>
        <w:t>Fulfillment</w:t>
      </w:r>
      <w:r w:rsidRPr="00D1540F" w:rsidR="002A4965">
        <w:rPr>
          <w:rFonts w:eastAsiaTheme="minorEastAsia"/>
        </w:rPr>
        <w:t xml:space="preserve"> of this indicator </w:t>
      </w:r>
      <w:r w:rsidR="001F527E">
        <w:rPr>
          <w:rFonts w:eastAsiaTheme="minorEastAsia"/>
        </w:rPr>
        <w:t>was estimated at</w:t>
      </w:r>
      <w:r w:rsidRPr="00D1540F" w:rsidR="002A4965">
        <w:rPr>
          <w:rFonts w:eastAsiaTheme="minorEastAsia"/>
        </w:rPr>
        <w:t xml:space="preserve"> </w:t>
      </w:r>
      <w:r w:rsidR="00A76935">
        <w:rPr>
          <w:rFonts w:eastAsiaTheme="minorEastAsia"/>
        </w:rPr>
        <w:t xml:space="preserve">0.25, </w:t>
      </w:r>
      <w:r w:rsidRPr="00D1540F" w:rsidR="0038641B">
        <w:rPr>
          <w:rFonts w:eastAsiaTheme="minorEastAsia"/>
        </w:rPr>
        <w:t xml:space="preserve">because </w:t>
      </w:r>
      <w:r w:rsidR="00B12DD6">
        <w:rPr>
          <w:rFonts w:eastAsiaTheme="minorEastAsia"/>
        </w:rPr>
        <w:t>library on</w:t>
      </w:r>
      <w:r w:rsidRPr="00D1540F" w:rsidR="002A4965">
        <w:rPr>
          <w:rFonts w:eastAsiaTheme="minorEastAsia"/>
        </w:rPr>
        <w:t xml:space="preserve"> the SEC website contains a by-law - </w:t>
      </w:r>
      <w:r w:rsidRPr="00D1540F" w:rsidR="0038641B">
        <w:rPr>
          <w:rFonts w:eastAsiaTheme="minorEastAsia"/>
        </w:rPr>
        <w:t>Rules</w:t>
      </w:r>
      <w:r w:rsidRPr="00D1540F" w:rsidR="002A4965">
        <w:rPr>
          <w:rFonts w:eastAsiaTheme="minorEastAsia"/>
        </w:rPr>
        <w:t xml:space="preserve"> on voting by letter</w:t>
      </w:r>
      <w:r w:rsidRPr="00D1540F" w:rsidR="002A4965">
        <w:rPr>
          <w:rStyle w:val="FootnoteReference"/>
          <w:rFonts w:eastAsiaTheme="minorEastAsia"/>
        </w:rPr>
        <w:footnoteReference w:id="8"/>
      </w:r>
      <w:r w:rsidRPr="00D1540F" w:rsidR="002A4965">
        <w:rPr>
          <w:rFonts w:eastAsiaTheme="minorEastAsia"/>
        </w:rPr>
        <w:t xml:space="preserve"> </w:t>
      </w:r>
      <w:r w:rsidRPr="00D1540F" w:rsidR="0038641B">
        <w:rPr>
          <w:rFonts w:eastAsiaTheme="minorEastAsia"/>
        </w:rPr>
        <w:t xml:space="preserve"> - </w:t>
      </w:r>
      <w:r w:rsidRPr="00D1540F" w:rsidR="002A4965">
        <w:rPr>
          <w:rFonts w:eastAsiaTheme="minorEastAsia"/>
        </w:rPr>
        <w:t xml:space="preserve">which </w:t>
      </w:r>
      <w:r w:rsidRPr="00D1540F" w:rsidR="0038641B">
        <w:rPr>
          <w:rFonts w:eastAsiaTheme="minorEastAsia"/>
        </w:rPr>
        <w:t>includ</w:t>
      </w:r>
      <w:r w:rsidRPr="00D1540F" w:rsidR="002A4965">
        <w:rPr>
          <w:rFonts w:eastAsiaTheme="minorEastAsia"/>
        </w:rPr>
        <w:t>es</w:t>
      </w:r>
      <w:r w:rsidRPr="00D1540F" w:rsidR="0038641B">
        <w:rPr>
          <w:rFonts w:eastAsiaTheme="minorEastAsia"/>
        </w:rPr>
        <w:t xml:space="preserve"> a request form</w:t>
      </w:r>
      <w:r w:rsidRPr="00B12DD6" w:rsidR="00B12DD6">
        <w:rPr>
          <w:rFonts w:eastAsiaTheme="minorEastAsia"/>
        </w:rPr>
        <w:t xml:space="preserve"> </w:t>
      </w:r>
      <w:r w:rsidR="00B12DD6">
        <w:rPr>
          <w:rFonts w:eastAsiaTheme="minorEastAsia"/>
        </w:rPr>
        <w:t xml:space="preserve">for </w:t>
      </w:r>
      <w:r w:rsidRPr="00D1540F" w:rsidR="00B12DD6">
        <w:rPr>
          <w:rFonts w:eastAsiaTheme="minorEastAsia"/>
        </w:rPr>
        <w:t>voting by letter</w:t>
      </w:r>
      <w:r w:rsidRPr="00D1540F" w:rsidR="0038641B">
        <w:rPr>
          <w:rFonts w:eastAsiaTheme="minorEastAsia"/>
        </w:rPr>
        <w:t xml:space="preserve">. However, closer information on who has the right to vote </w:t>
      </w:r>
      <w:r w:rsidR="00B12DD6">
        <w:rPr>
          <w:rFonts w:eastAsiaTheme="minorEastAsia"/>
        </w:rPr>
        <w:t>by</w:t>
      </w:r>
      <w:r w:rsidRPr="00D1540F" w:rsidR="0038641B">
        <w:rPr>
          <w:rFonts w:eastAsiaTheme="minorEastAsia"/>
        </w:rPr>
        <w:t xml:space="preserve"> letter and how this right can be </w:t>
      </w:r>
      <w:r w:rsidRPr="00D1540F" w:rsidR="002A4965">
        <w:rPr>
          <w:rFonts w:eastAsiaTheme="minorEastAsia"/>
        </w:rPr>
        <w:t>exercised</w:t>
      </w:r>
      <w:r w:rsidRPr="00D1540F" w:rsidR="0038641B">
        <w:rPr>
          <w:rFonts w:eastAsiaTheme="minorEastAsia"/>
        </w:rPr>
        <w:t xml:space="preserve"> is not available on </w:t>
      </w:r>
      <w:r w:rsidRPr="00D1540F" w:rsidR="002A4965">
        <w:rPr>
          <w:rFonts w:eastAsiaTheme="minorEastAsia"/>
        </w:rPr>
        <w:t>the SEC</w:t>
      </w:r>
      <w:r w:rsidRPr="00D1540F" w:rsidR="0038641B">
        <w:rPr>
          <w:rFonts w:eastAsiaTheme="minorEastAsia"/>
        </w:rPr>
        <w:t xml:space="preserve"> website in a form </w:t>
      </w:r>
      <w:r w:rsidRPr="00D1540F" w:rsidR="002A4965">
        <w:rPr>
          <w:rFonts w:eastAsiaTheme="minorEastAsia"/>
        </w:rPr>
        <w:t>ad</w:t>
      </w:r>
      <w:r w:rsidR="00B12DD6">
        <w:rPr>
          <w:rFonts w:eastAsiaTheme="minorEastAsia"/>
        </w:rPr>
        <w:t>apted</w:t>
      </w:r>
      <w:r w:rsidRPr="00D1540F" w:rsidR="0038641B">
        <w:rPr>
          <w:rFonts w:eastAsiaTheme="minorEastAsia"/>
        </w:rPr>
        <w:t xml:space="preserve"> to citizens.</w:t>
      </w:r>
    </w:p>
    <w:p w:rsidRPr="00D1540F" w:rsidR="00683923" w:rsidP="00683923" w:rsidRDefault="00B12DD6" w14:paraId="0B4268A0" w14:textId="035DBAFE">
      <w:pPr>
        <w:jc w:val="both"/>
        <w:rPr>
          <w:rFonts w:eastAsiaTheme="minorEastAsia"/>
          <w:i/>
        </w:rPr>
      </w:pPr>
      <w:r>
        <w:rPr>
          <w:rFonts w:eastAsiaTheme="minorEastAsia"/>
          <w:i/>
        </w:rPr>
        <w:t>Does t</w:t>
      </w:r>
      <w:r w:rsidRPr="00D1540F" w:rsidR="002A4965">
        <w:rPr>
          <w:rFonts w:eastAsiaTheme="minorEastAsia"/>
          <w:i/>
        </w:rPr>
        <w:t>he SEC</w:t>
      </w:r>
      <w:r w:rsidRPr="00D1540F" w:rsidR="00683923">
        <w:rPr>
          <w:rFonts w:eastAsiaTheme="minorEastAsia"/>
          <w:i/>
        </w:rPr>
        <w:t xml:space="preserve"> website provide information on the importance of voting </w:t>
      </w:r>
      <w:r w:rsidRPr="00D1540F" w:rsidR="002A4965">
        <w:rPr>
          <w:rFonts w:eastAsiaTheme="minorEastAsia"/>
          <w:i/>
        </w:rPr>
        <w:t>of</w:t>
      </w:r>
      <w:r w:rsidRPr="00D1540F" w:rsidR="00683923">
        <w:rPr>
          <w:rFonts w:eastAsiaTheme="minorEastAsia"/>
          <w:i/>
        </w:rPr>
        <w:t xml:space="preserve"> disabled pe</w:t>
      </w:r>
      <w:r w:rsidRPr="00D1540F" w:rsidR="002A4965">
        <w:rPr>
          <w:rFonts w:eastAsiaTheme="minorEastAsia"/>
          <w:i/>
        </w:rPr>
        <w:t>rsons</w:t>
      </w:r>
      <w:r w:rsidRPr="00D1540F" w:rsidR="00683923">
        <w:rPr>
          <w:rFonts w:eastAsiaTheme="minorEastAsia"/>
          <w:i/>
        </w:rPr>
        <w:t xml:space="preserve"> (accessibility of </w:t>
      </w:r>
      <w:r w:rsidRPr="00D1540F" w:rsidR="002A4965">
        <w:rPr>
          <w:rFonts w:eastAsiaTheme="minorEastAsia"/>
          <w:i/>
        </w:rPr>
        <w:t>polling stations</w:t>
      </w:r>
      <w:r w:rsidRPr="00D1540F" w:rsidR="00683923">
        <w:rPr>
          <w:rFonts w:eastAsiaTheme="minorEastAsia"/>
          <w:i/>
        </w:rPr>
        <w:t>, voting assistance, templates etc.)?</w:t>
      </w:r>
    </w:p>
    <w:p w:rsidRPr="00D1540F" w:rsidR="00683923" w:rsidP="00683923" w:rsidRDefault="00F32446" w14:paraId="44A1A2D0" w14:textId="4A29D2E0">
      <w:pPr>
        <w:jc w:val="both"/>
        <w:rPr>
          <w:rFonts w:eastAsiaTheme="minorEastAsia"/>
        </w:rPr>
      </w:pPr>
      <w:r w:rsidRPr="00D1540F">
        <w:rPr>
          <w:rFonts w:eastAsiaTheme="minorEastAsia"/>
        </w:rPr>
        <w:t>Fulfillment</w:t>
      </w:r>
      <w:r w:rsidRPr="00D1540F" w:rsidR="002A4965">
        <w:rPr>
          <w:rFonts w:eastAsiaTheme="minorEastAsia"/>
        </w:rPr>
        <w:t xml:space="preserve"> of this indicator </w:t>
      </w:r>
      <w:r w:rsidR="001F527E">
        <w:rPr>
          <w:rFonts w:eastAsiaTheme="minorEastAsia"/>
        </w:rPr>
        <w:t>was estimated at</w:t>
      </w:r>
      <w:r w:rsidRPr="00D1540F" w:rsidR="002A4965">
        <w:rPr>
          <w:rFonts w:eastAsiaTheme="minorEastAsia"/>
        </w:rPr>
        <w:t xml:space="preserve"> </w:t>
      </w:r>
      <w:r w:rsidR="008211A8">
        <w:rPr>
          <w:rFonts w:eastAsiaTheme="minorEastAsia"/>
        </w:rPr>
        <w:t xml:space="preserve">0, </w:t>
      </w:r>
      <w:r w:rsidRPr="00D1540F" w:rsidR="00683923">
        <w:rPr>
          <w:rFonts w:eastAsiaTheme="minorEastAsia"/>
        </w:rPr>
        <w:t xml:space="preserve">because the </w:t>
      </w:r>
      <w:r w:rsidRPr="00D1540F" w:rsidR="002A4965">
        <w:rPr>
          <w:rFonts w:eastAsiaTheme="minorEastAsia"/>
        </w:rPr>
        <w:t>SEC</w:t>
      </w:r>
      <w:r w:rsidRPr="00D1540F" w:rsidR="00683923">
        <w:rPr>
          <w:rFonts w:eastAsiaTheme="minorEastAsia"/>
        </w:rPr>
        <w:t xml:space="preserve"> website does not provide information relevant </w:t>
      </w:r>
      <w:r w:rsidR="00B12DD6">
        <w:rPr>
          <w:rFonts w:eastAsiaTheme="minorEastAsia"/>
        </w:rPr>
        <w:t xml:space="preserve">for </w:t>
      </w:r>
      <w:r w:rsidRPr="00D1540F" w:rsidR="00683923">
        <w:rPr>
          <w:rFonts w:eastAsiaTheme="minorEastAsia"/>
        </w:rPr>
        <w:t>voting of disabled persons.</w:t>
      </w:r>
    </w:p>
    <w:p w:rsidRPr="00D1540F" w:rsidR="00EA1ADD" w:rsidP="0524E42C" w:rsidRDefault="002A4965" w14:paraId="7AB62DAA" w14:textId="1C7831F9">
      <w:pPr>
        <w:jc w:val="both"/>
        <w:rPr>
          <w:rFonts w:eastAsiaTheme="minorEastAsia"/>
        </w:rPr>
      </w:pPr>
      <w:r w:rsidRPr="00D1540F">
        <w:rPr>
          <w:rFonts w:eastAsiaTheme="minorEastAsia"/>
        </w:rPr>
        <w:t xml:space="preserve">In order for persons with disabilities to exercise their right to vote, it is necessary that they be allowed physical access to the polling station, as well as </w:t>
      </w:r>
      <w:r w:rsidR="00B12DD6">
        <w:rPr>
          <w:rFonts w:eastAsiaTheme="minorEastAsia"/>
        </w:rPr>
        <w:t>to vote appropriately. Lack</w:t>
      </w:r>
      <w:r w:rsidRPr="00D1540F">
        <w:rPr>
          <w:rFonts w:eastAsiaTheme="minorEastAsia"/>
        </w:rPr>
        <w:t xml:space="preserve"> of conditions for unimpeded access, movement, stay and work in public use facilities and in </w:t>
      </w:r>
      <w:r w:rsidRPr="00D1540F" w:rsidR="00A36EFC">
        <w:rPr>
          <w:rFonts w:eastAsiaTheme="minorEastAsia"/>
        </w:rPr>
        <w:t>premises</w:t>
      </w:r>
      <w:r w:rsidRPr="00D1540F">
        <w:rPr>
          <w:rFonts w:eastAsiaTheme="minorEastAsia"/>
        </w:rPr>
        <w:t xml:space="preserve"> and areas of public use for persons with disabilities is considered to be discrimination based on disability. Nevertheless, in spite of this, estimates indicate that more than half of the polling stations are completely inaccessible to wheelchair users, and polling stations that meet all accessibility standards for people with disabilities</w:t>
      </w:r>
      <w:r w:rsidRPr="00D1540F" w:rsidR="00A36EFC">
        <w:rPr>
          <w:rFonts w:eastAsiaTheme="minorEastAsia"/>
        </w:rPr>
        <w:t xml:space="preserve"> are rare</w:t>
      </w:r>
      <w:r w:rsidRPr="00D1540F" w:rsidR="00B85A17">
        <w:rPr>
          <w:rFonts w:eastAsiaTheme="minorEastAsia"/>
        </w:rPr>
        <w:t>.</w:t>
      </w:r>
    </w:p>
    <w:p w:rsidRPr="00D1540F" w:rsidR="00683923" w:rsidP="00683923" w:rsidRDefault="00B85A17" w14:paraId="5A89FF21" w14:textId="4A21DE45">
      <w:pPr>
        <w:jc w:val="both"/>
        <w:rPr>
          <w:rFonts w:eastAsiaTheme="minorEastAsia"/>
        </w:rPr>
      </w:pPr>
      <w:r w:rsidRPr="00D1540F">
        <w:rPr>
          <w:rFonts w:eastAsiaTheme="minorEastAsia"/>
        </w:rPr>
        <w:t>There is no information on the</w:t>
      </w:r>
      <w:r w:rsidRPr="00D1540F" w:rsidR="00683923">
        <w:rPr>
          <w:rFonts w:eastAsiaTheme="minorEastAsia"/>
        </w:rPr>
        <w:t xml:space="preserve"> </w:t>
      </w:r>
      <w:r w:rsidRPr="00D1540F">
        <w:rPr>
          <w:rFonts w:eastAsiaTheme="minorEastAsia"/>
        </w:rPr>
        <w:t>SEC</w:t>
      </w:r>
      <w:r w:rsidRPr="00D1540F" w:rsidR="00683923">
        <w:rPr>
          <w:rFonts w:eastAsiaTheme="minorEastAsia"/>
        </w:rPr>
        <w:t xml:space="preserve"> website on accessibility of individual polling stations, but also explanations and information regarding the use of templates, or </w:t>
      </w:r>
      <w:r w:rsidRPr="00D1540F">
        <w:rPr>
          <w:rFonts w:eastAsiaTheme="minorEastAsia"/>
        </w:rPr>
        <w:t>use of the right to assistance in voting</w:t>
      </w:r>
      <w:r w:rsidRPr="00D1540F" w:rsidR="00683923">
        <w:rPr>
          <w:rFonts w:eastAsiaTheme="minorEastAsia"/>
        </w:rPr>
        <w:t>.</w:t>
      </w:r>
    </w:p>
    <w:p w:rsidRPr="00D1540F" w:rsidR="00683923" w:rsidP="00683923" w:rsidRDefault="00683923" w14:paraId="7B0D7CE9" w14:textId="06D80A89">
      <w:pPr>
        <w:jc w:val="both"/>
        <w:rPr>
          <w:rFonts w:eastAsiaTheme="minorEastAsia"/>
          <w:i/>
        </w:rPr>
      </w:pPr>
      <w:r w:rsidRPr="00D1540F">
        <w:rPr>
          <w:rFonts w:eastAsiaTheme="minorEastAsia"/>
          <w:i/>
        </w:rPr>
        <w:t xml:space="preserve">Does the </w:t>
      </w:r>
      <w:r w:rsidRPr="00D1540F" w:rsidR="00B85A17">
        <w:rPr>
          <w:rFonts w:eastAsiaTheme="minorEastAsia"/>
          <w:i/>
        </w:rPr>
        <w:t>SEC</w:t>
      </w:r>
      <w:r w:rsidRPr="00D1540F">
        <w:rPr>
          <w:rFonts w:eastAsiaTheme="minorEastAsia"/>
          <w:i/>
        </w:rPr>
        <w:t xml:space="preserve"> website provide information on voting opportunities for foreigners?</w:t>
      </w:r>
    </w:p>
    <w:p w:rsidRPr="00D1540F" w:rsidR="00683923" w:rsidP="00683923" w:rsidRDefault="00F32446" w14:paraId="1161437D" w14:textId="0C72FED6">
      <w:pPr>
        <w:jc w:val="both"/>
        <w:rPr>
          <w:rFonts w:eastAsiaTheme="minorEastAsia"/>
        </w:rPr>
      </w:pPr>
      <w:r w:rsidRPr="00D1540F">
        <w:rPr>
          <w:rFonts w:eastAsiaTheme="minorEastAsia"/>
        </w:rPr>
        <w:t>Fulfillment</w:t>
      </w:r>
      <w:r w:rsidRPr="00D1540F" w:rsidR="00B85A17">
        <w:rPr>
          <w:rFonts w:eastAsiaTheme="minorEastAsia"/>
        </w:rPr>
        <w:t xml:space="preserve"> of this indicator </w:t>
      </w:r>
      <w:r w:rsidR="001F527E">
        <w:rPr>
          <w:rFonts w:eastAsiaTheme="minorEastAsia"/>
        </w:rPr>
        <w:t>was estimated at</w:t>
      </w:r>
      <w:r w:rsidRPr="00D1540F" w:rsidR="00B85A17">
        <w:rPr>
          <w:rFonts w:eastAsiaTheme="minorEastAsia"/>
        </w:rPr>
        <w:t xml:space="preserve"> </w:t>
      </w:r>
      <w:r w:rsidRPr="00D1540F" w:rsidR="00683923">
        <w:rPr>
          <w:rFonts w:eastAsiaTheme="minorEastAsia"/>
        </w:rPr>
        <w:t>0</w:t>
      </w:r>
      <w:r w:rsidR="00E04303">
        <w:rPr>
          <w:rFonts w:eastAsiaTheme="minorEastAsia"/>
        </w:rPr>
        <w:t>,</w:t>
      </w:r>
      <w:r w:rsidRPr="00D1540F" w:rsidR="00683923">
        <w:rPr>
          <w:rFonts w:eastAsiaTheme="minorEastAsia"/>
        </w:rPr>
        <w:t xml:space="preserve"> because the </w:t>
      </w:r>
      <w:r w:rsidRPr="00D1540F" w:rsidR="00B85A17">
        <w:rPr>
          <w:rFonts w:eastAsiaTheme="minorEastAsia"/>
        </w:rPr>
        <w:t xml:space="preserve">SEC </w:t>
      </w:r>
      <w:r w:rsidRPr="00D1540F" w:rsidR="00683923">
        <w:rPr>
          <w:rFonts w:eastAsiaTheme="minorEastAsia"/>
        </w:rPr>
        <w:t>website does not provide information on voting opportunities for people from abroad.</w:t>
      </w:r>
    </w:p>
    <w:p w:rsidRPr="00D1540F" w:rsidR="00683923" w:rsidP="2B108C12" w:rsidRDefault="00683923" w14:paraId="00813F27" w14:textId="3D090E70">
      <w:pPr>
        <w:jc w:val="both"/>
        <w:rPr>
          <w:rFonts w:eastAsiaTheme="minorEastAsia"/>
        </w:rPr>
      </w:pPr>
      <w:r w:rsidRPr="00D1540F">
        <w:rPr>
          <w:rFonts w:eastAsiaTheme="minorEastAsia"/>
        </w:rPr>
        <w:t xml:space="preserve">According to Montenegrin electoral legislation, voting is possible only at polling stations in Montenegro, so Montenegrin citizens with voting rights residing abroad can only exercise that right by coming to Montenegro on </w:t>
      </w:r>
      <w:r w:rsidR="00F32446">
        <w:rPr>
          <w:rFonts w:eastAsiaTheme="minorEastAsia"/>
        </w:rPr>
        <w:t xml:space="preserve">the </w:t>
      </w:r>
      <w:r w:rsidR="006679A6">
        <w:rPr>
          <w:rFonts w:eastAsiaTheme="minorEastAsia"/>
        </w:rPr>
        <w:t>election d</w:t>
      </w:r>
      <w:r w:rsidR="00F32446">
        <w:rPr>
          <w:rFonts w:eastAsiaTheme="minorEastAsia"/>
        </w:rPr>
        <w:t>ay</w:t>
      </w:r>
      <w:r w:rsidRPr="00D1540F">
        <w:rPr>
          <w:rFonts w:eastAsiaTheme="minorEastAsia"/>
        </w:rPr>
        <w:t xml:space="preserve">. Our </w:t>
      </w:r>
      <w:r w:rsidRPr="00D1540F" w:rsidR="00F32446">
        <w:rPr>
          <w:rFonts w:eastAsiaTheme="minorEastAsia"/>
        </w:rPr>
        <w:t>citizens,</w:t>
      </w:r>
      <w:r w:rsidRPr="00D1540F">
        <w:rPr>
          <w:rFonts w:eastAsiaTheme="minorEastAsia"/>
        </w:rPr>
        <w:t xml:space="preserve"> who live abroad, however, do not always have this information, </w:t>
      </w:r>
      <w:r w:rsidRPr="00D1540F" w:rsidR="00B7359A">
        <w:rPr>
          <w:rFonts w:eastAsiaTheme="minorEastAsia"/>
        </w:rPr>
        <w:t>as</w:t>
      </w:r>
      <w:r w:rsidRPr="00D1540F" w:rsidR="00236E20">
        <w:rPr>
          <w:rFonts w:eastAsiaTheme="minorEastAsia"/>
        </w:rPr>
        <w:t xml:space="preserve"> they do not </w:t>
      </w:r>
      <w:r w:rsidRPr="00D1540F" w:rsidR="00B7359A">
        <w:rPr>
          <w:rFonts w:eastAsiaTheme="minorEastAsia"/>
        </w:rPr>
        <w:t xml:space="preserve">always </w:t>
      </w:r>
      <w:r w:rsidRPr="00D1540F" w:rsidR="00236E20">
        <w:rPr>
          <w:rFonts w:eastAsiaTheme="minorEastAsia"/>
        </w:rPr>
        <w:t>follow the media and political events</w:t>
      </w:r>
      <w:r w:rsidRPr="00D1540F">
        <w:rPr>
          <w:rFonts w:eastAsiaTheme="minorEastAsia"/>
        </w:rPr>
        <w:t xml:space="preserve">. They often address questions about how to </w:t>
      </w:r>
      <w:r w:rsidRPr="00D1540F" w:rsidR="00B85A17">
        <w:rPr>
          <w:rFonts w:eastAsiaTheme="minorEastAsia"/>
        </w:rPr>
        <w:t>exercise their voting right</w:t>
      </w:r>
      <w:r w:rsidRPr="00D1540F">
        <w:rPr>
          <w:rFonts w:eastAsiaTheme="minorEastAsia"/>
        </w:rPr>
        <w:t xml:space="preserve"> to non-governmental organizations, as this information </w:t>
      </w:r>
      <w:r w:rsidRPr="00D1540F" w:rsidR="00F32446">
        <w:rPr>
          <w:rFonts w:eastAsiaTheme="minorEastAsia"/>
        </w:rPr>
        <w:t>cannot</w:t>
      </w:r>
      <w:r w:rsidRPr="00D1540F">
        <w:rPr>
          <w:rFonts w:eastAsiaTheme="minorEastAsia"/>
        </w:rPr>
        <w:t xml:space="preserve"> be found on </w:t>
      </w:r>
      <w:r w:rsidRPr="00D1540F" w:rsidR="00B85A17">
        <w:rPr>
          <w:rFonts w:eastAsiaTheme="minorEastAsia"/>
        </w:rPr>
        <w:t>the SEC</w:t>
      </w:r>
      <w:r w:rsidRPr="00D1540F">
        <w:rPr>
          <w:rFonts w:eastAsiaTheme="minorEastAsia"/>
        </w:rPr>
        <w:t xml:space="preserve"> website.</w:t>
      </w:r>
    </w:p>
    <w:p w:rsidRPr="00D1540F" w:rsidR="00287565" w:rsidP="00287565" w:rsidRDefault="00287565" w14:paraId="5DC43A35" w14:textId="5CD95463">
      <w:pPr>
        <w:jc w:val="both"/>
        <w:rPr>
          <w:i/>
        </w:rPr>
      </w:pPr>
      <w:r w:rsidRPr="00D1540F">
        <w:rPr>
          <w:i/>
        </w:rPr>
        <w:t>Does the SEC website provide information about the documents required for voting?</w:t>
      </w:r>
    </w:p>
    <w:p w:rsidRPr="00D1540F" w:rsidR="00287565" w:rsidP="00287565" w:rsidRDefault="00287565" w14:paraId="4BF9E5B6" w14:textId="33647AEF">
      <w:pPr>
        <w:jc w:val="both"/>
      </w:pPr>
      <w:r w:rsidRPr="00D1540F">
        <w:t xml:space="preserve">Fulfillment of this indicator </w:t>
      </w:r>
      <w:r w:rsidR="001F527E">
        <w:t>was estimated at</w:t>
      </w:r>
      <w:r w:rsidR="00AE754A">
        <w:t xml:space="preserve"> 1, </w:t>
      </w:r>
      <w:r w:rsidRPr="00D1540F">
        <w:t>because information on voting documents, in the format ad</w:t>
      </w:r>
      <w:r w:rsidR="009D3934">
        <w:t>apted</w:t>
      </w:r>
      <w:r w:rsidRPr="00D1540F">
        <w:t xml:space="preserve"> to citizens, can be found in the section Education on the SEC website</w:t>
      </w:r>
      <w:r w:rsidRPr="00D1540F" w:rsidR="00817641">
        <w:rPr>
          <w:rStyle w:val="FootnoteReference"/>
          <w:rFonts w:eastAsiaTheme="minorEastAsia"/>
        </w:rPr>
        <w:footnoteReference w:id="9"/>
      </w:r>
      <w:r w:rsidRPr="00D1540F">
        <w:t>.</w:t>
      </w:r>
    </w:p>
    <w:p w:rsidRPr="00D1540F" w:rsidR="00683923" w:rsidP="00683923" w:rsidRDefault="00683923" w14:paraId="24E50FAE" w14:textId="3ADFEF83">
      <w:pPr>
        <w:jc w:val="both"/>
        <w:rPr>
          <w:i/>
        </w:rPr>
      </w:pPr>
      <w:r w:rsidRPr="00D1540F">
        <w:rPr>
          <w:i/>
        </w:rPr>
        <w:t xml:space="preserve">Does </w:t>
      </w:r>
      <w:r w:rsidRPr="00D1540F" w:rsidR="003C63C8">
        <w:rPr>
          <w:i/>
        </w:rPr>
        <w:t>the SEC</w:t>
      </w:r>
      <w:r w:rsidRPr="00D1540F">
        <w:rPr>
          <w:i/>
        </w:rPr>
        <w:t xml:space="preserve"> website provide information on the voting procedure?</w:t>
      </w:r>
    </w:p>
    <w:p w:rsidRPr="00D1540F" w:rsidR="00683923" w:rsidP="00683923" w:rsidRDefault="003C63C8" w14:paraId="02973EDC" w14:textId="77A36B2D">
      <w:pPr>
        <w:jc w:val="both"/>
      </w:pPr>
      <w:r w:rsidRPr="00D1540F">
        <w:lastRenderedPageBreak/>
        <w:t xml:space="preserve">Fulfillment of this indicator </w:t>
      </w:r>
      <w:r w:rsidR="001F527E">
        <w:t>was estimated at</w:t>
      </w:r>
      <w:r w:rsidRPr="00D1540F">
        <w:t xml:space="preserve"> </w:t>
      </w:r>
      <w:r w:rsidRPr="00D1540F" w:rsidR="00683923">
        <w:t xml:space="preserve">0.75 because </w:t>
      </w:r>
      <w:r w:rsidRPr="00D1540F">
        <w:t>the SEC</w:t>
      </w:r>
      <w:r w:rsidRPr="00D1540F" w:rsidR="00683923">
        <w:t xml:space="preserve"> website contains basic information for voters on the voting procedure, but not about irregularities in the procedure, and how to re</w:t>
      </w:r>
      <w:r w:rsidR="009D3934">
        <w:t>act</w:t>
      </w:r>
      <w:r w:rsidRPr="00D1540F" w:rsidR="00683923">
        <w:t xml:space="preserve"> to them.</w:t>
      </w:r>
    </w:p>
    <w:p w:rsidRPr="00D1540F" w:rsidR="00683923" w:rsidP="00683923" w:rsidRDefault="003C63C8" w14:paraId="09E044BC" w14:textId="4B5F89EB">
      <w:pPr>
        <w:jc w:val="both"/>
      </w:pPr>
      <w:r w:rsidRPr="00D1540F">
        <w:t>In 2016, f</w:t>
      </w:r>
      <w:r w:rsidRPr="00D1540F" w:rsidR="00683923">
        <w:t xml:space="preserve">or the first time </w:t>
      </w:r>
      <w:r w:rsidRPr="00D1540F">
        <w:t>after more than a decade, the SEC</w:t>
      </w:r>
      <w:r w:rsidRPr="00D1540F" w:rsidR="00683923">
        <w:t xml:space="preserve"> conducted a public campaign </w:t>
      </w:r>
      <w:r w:rsidRPr="00D1540F">
        <w:t>for educating voters</w:t>
      </w:r>
      <w:r w:rsidRPr="00D1540F" w:rsidR="00683923">
        <w:t xml:space="preserve"> on the voting procedure. In </w:t>
      </w:r>
      <w:r w:rsidRPr="00D1540F">
        <w:t>the similar scope and intensity, the campaign</w:t>
      </w:r>
      <w:r w:rsidRPr="00D1540F" w:rsidR="00683923">
        <w:t xml:space="preserve"> was also conducted for the 2018 presidential election</w:t>
      </w:r>
      <w:r w:rsidR="009D3934">
        <w:t>s</w:t>
      </w:r>
      <w:r w:rsidRPr="00D1540F" w:rsidR="00683923">
        <w:t xml:space="preserve">. Video clips and posters have been prepared that explain the voting procedure and </w:t>
      </w:r>
      <w:r w:rsidRPr="00D1540F">
        <w:t>the way of checking the polling station</w:t>
      </w:r>
      <w:r w:rsidRPr="00D1540F" w:rsidR="00683923">
        <w:t xml:space="preserve">. However, </w:t>
      </w:r>
      <w:r w:rsidRPr="00D1540F">
        <w:t>the SEC does</w:t>
      </w:r>
      <w:r w:rsidRPr="00D1540F" w:rsidR="00683923">
        <w:t xml:space="preserve"> not provide information</w:t>
      </w:r>
      <w:r w:rsidRPr="00D1540F">
        <w:t xml:space="preserve"> to voters</w:t>
      </w:r>
      <w:r w:rsidRPr="00D1540F" w:rsidR="00683923">
        <w:t xml:space="preserve"> about their rights, the manner </w:t>
      </w:r>
      <w:r w:rsidRPr="00D1540F">
        <w:t>of protecting these rights and</w:t>
      </w:r>
      <w:r w:rsidRPr="00D1540F" w:rsidR="00683923">
        <w:t xml:space="preserve"> reporting of potential misuse. </w:t>
      </w:r>
      <w:r w:rsidRPr="00D1540F">
        <w:t>Furthermore</w:t>
      </w:r>
      <w:r w:rsidRPr="00D1540F" w:rsidR="00683923">
        <w:t xml:space="preserve">, in the intense campaign of </w:t>
      </w:r>
      <w:r w:rsidRPr="00D1540F">
        <w:t>political parties and</w:t>
      </w:r>
      <w:r w:rsidRPr="00D1540F" w:rsidR="00683923">
        <w:t xml:space="preserve"> candidate</w:t>
      </w:r>
      <w:r w:rsidRPr="00D1540F">
        <w:t>s</w:t>
      </w:r>
      <w:r w:rsidRPr="00D1540F" w:rsidR="00683923">
        <w:t xml:space="preserve">, these efforts of </w:t>
      </w:r>
      <w:r w:rsidRPr="00D1540F">
        <w:t>the SE</w:t>
      </w:r>
      <w:r w:rsidR="009D3934">
        <w:t>C</w:t>
      </w:r>
      <w:r w:rsidRPr="00D1540F" w:rsidR="00683923">
        <w:t xml:space="preserve"> remain invisible. These activities are also carried out with expert and financial support from the OSCE.</w:t>
      </w:r>
    </w:p>
    <w:p w:rsidRPr="00D1540F" w:rsidR="003C63C8" w:rsidP="003C63C8" w:rsidRDefault="003C63C8" w14:paraId="37A4081B" w14:textId="0392F972">
      <w:pPr>
        <w:jc w:val="both"/>
        <w:rPr>
          <w:rFonts w:eastAsiaTheme="minorEastAsia"/>
          <w:i/>
        </w:rPr>
      </w:pPr>
      <w:r w:rsidRPr="00D1540F">
        <w:rPr>
          <w:rFonts w:eastAsiaTheme="minorEastAsia"/>
          <w:i/>
        </w:rPr>
        <w:t xml:space="preserve">Does the SEC website provide information on the procedure for checking </w:t>
      </w:r>
      <w:r w:rsidR="009D3934">
        <w:rPr>
          <w:rFonts w:eastAsiaTheme="minorEastAsia"/>
          <w:i/>
        </w:rPr>
        <w:t xml:space="preserve">the </w:t>
      </w:r>
      <w:r w:rsidRPr="009D3934" w:rsidR="009D3934">
        <w:rPr>
          <w:rFonts w:eastAsiaTheme="minorEastAsia"/>
          <w:i/>
        </w:rPr>
        <w:t>voters' register</w:t>
      </w:r>
      <w:r w:rsidRPr="00D1540F">
        <w:rPr>
          <w:rFonts w:eastAsiaTheme="minorEastAsia"/>
          <w:i/>
        </w:rPr>
        <w:t>?</w:t>
      </w:r>
    </w:p>
    <w:p w:rsidRPr="00D1540F" w:rsidR="003C63C8" w:rsidP="003C63C8" w:rsidRDefault="003C63C8" w14:paraId="2AD7B380" w14:textId="25FE1DA7">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003A1B91">
        <w:rPr>
          <w:rFonts w:eastAsiaTheme="minorEastAsia"/>
        </w:rPr>
        <w:t xml:space="preserve"> 1, </w:t>
      </w:r>
      <w:r w:rsidRPr="00D1540F">
        <w:rPr>
          <w:rFonts w:eastAsiaTheme="minorEastAsia"/>
        </w:rPr>
        <w:t xml:space="preserve">because on the SEC website, in the section Educational material, </w:t>
      </w:r>
      <w:r w:rsidR="00F66F9E">
        <w:rPr>
          <w:rFonts w:eastAsiaTheme="minorEastAsia"/>
        </w:rPr>
        <w:t>there are</w:t>
      </w:r>
      <w:r w:rsidRPr="00D1540F">
        <w:rPr>
          <w:rFonts w:eastAsiaTheme="minorEastAsia"/>
        </w:rPr>
        <w:t xml:space="preserve"> information on the procedure of checking </w:t>
      </w:r>
      <w:r w:rsidRPr="005425FB" w:rsidR="00F66F9E">
        <w:rPr>
          <w:rFonts w:eastAsiaTheme="minorEastAsia"/>
        </w:rPr>
        <w:t>the voters' register</w:t>
      </w:r>
      <w:r w:rsidRPr="00D1540F">
        <w:rPr>
          <w:rFonts w:eastAsiaTheme="minorEastAsia"/>
        </w:rPr>
        <w:t>, via the internet application or phone number of the Ministry of Interior.</w:t>
      </w:r>
    </w:p>
    <w:p w:rsidRPr="00D1540F" w:rsidR="00683923" w:rsidP="00683923" w:rsidRDefault="00683923" w14:paraId="773FBC78" w14:textId="51A0F5CC">
      <w:pPr>
        <w:jc w:val="both"/>
        <w:rPr>
          <w:rFonts w:eastAsiaTheme="minorEastAsia"/>
          <w:i/>
        </w:rPr>
      </w:pPr>
      <w:r w:rsidRPr="00D1540F">
        <w:rPr>
          <w:rFonts w:eastAsiaTheme="minorEastAsia"/>
          <w:i/>
        </w:rPr>
        <w:t xml:space="preserve">Can citizens check online </w:t>
      </w:r>
      <w:r w:rsidR="00F66F9E">
        <w:rPr>
          <w:rFonts w:eastAsiaTheme="minorEastAsia"/>
          <w:i/>
        </w:rPr>
        <w:t xml:space="preserve">at </w:t>
      </w:r>
      <w:r w:rsidRPr="00D1540F">
        <w:rPr>
          <w:rFonts w:eastAsiaTheme="minorEastAsia"/>
          <w:i/>
        </w:rPr>
        <w:t>which polling station</w:t>
      </w:r>
      <w:r w:rsidR="00F66F9E">
        <w:rPr>
          <w:rFonts w:eastAsiaTheme="minorEastAsia"/>
          <w:i/>
        </w:rPr>
        <w:t xml:space="preserve"> they vote</w:t>
      </w:r>
      <w:r w:rsidRPr="00D1540F">
        <w:rPr>
          <w:rFonts w:eastAsiaTheme="minorEastAsia"/>
          <w:i/>
        </w:rPr>
        <w:t>?</w:t>
      </w:r>
    </w:p>
    <w:p w:rsidRPr="00D1540F" w:rsidR="00683923" w:rsidP="00683923" w:rsidRDefault="003C63C8" w14:paraId="080E9CB5" w14:textId="58C85EEC">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Pr="00D1540F">
        <w:rPr>
          <w:rFonts w:eastAsiaTheme="minorEastAsia"/>
        </w:rPr>
        <w:t xml:space="preserve"> </w:t>
      </w:r>
      <w:r w:rsidRPr="00D1540F" w:rsidR="00683923">
        <w:rPr>
          <w:rFonts w:eastAsiaTheme="minorEastAsia"/>
        </w:rPr>
        <w:t xml:space="preserve">0.75, </w:t>
      </w:r>
      <w:r w:rsidR="00F66F9E">
        <w:rPr>
          <w:rFonts w:eastAsiaTheme="minorEastAsia"/>
        </w:rPr>
        <w:t>because</w:t>
      </w:r>
      <w:r w:rsidRPr="00D1540F" w:rsidR="00683923">
        <w:rPr>
          <w:rFonts w:eastAsiaTheme="minorEastAsia"/>
        </w:rPr>
        <w:t xml:space="preserve"> citizens can check </w:t>
      </w:r>
      <w:r w:rsidRPr="00D1540F">
        <w:rPr>
          <w:rFonts w:eastAsiaTheme="minorEastAsia"/>
        </w:rPr>
        <w:t>online</w:t>
      </w:r>
      <w:r w:rsidR="00F66F9E">
        <w:rPr>
          <w:rFonts w:eastAsiaTheme="minorEastAsia"/>
        </w:rPr>
        <w:t xml:space="preserve"> at</w:t>
      </w:r>
      <w:r w:rsidRPr="00D1540F">
        <w:rPr>
          <w:rFonts w:eastAsiaTheme="minorEastAsia"/>
        </w:rPr>
        <w:t xml:space="preserve"> </w:t>
      </w:r>
      <w:r w:rsidRPr="00D1540F" w:rsidR="00683923">
        <w:rPr>
          <w:rFonts w:eastAsiaTheme="minorEastAsia"/>
        </w:rPr>
        <w:t>which po</w:t>
      </w:r>
      <w:r w:rsidR="00F66F9E">
        <w:rPr>
          <w:rFonts w:eastAsiaTheme="minorEastAsia"/>
        </w:rPr>
        <w:t>lling station they are voting</w:t>
      </w:r>
      <w:r w:rsidRPr="00D1540F" w:rsidR="00683923">
        <w:rPr>
          <w:rFonts w:eastAsiaTheme="minorEastAsia"/>
        </w:rPr>
        <w:t xml:space="preserve"> via the internet application of the Ministry of Interior</w:t>
      </w:r>
      <w:r w:rsidRPr="00D1540F" w:rsidR="00BD1FC0">
        <w:rPr>
          <w:rStyle w:val="FootnoteReference"/>
          <w:rFonts w:eastAsiaTheme="minorEastAsia"/>
        </w:rPr>
        <w:footnoteReference w:id="10"/>
      </w:r>
      <w:r w:rsidRPr="00D1540F" w:rsidR="00BD1FC0">
        <w:rPr>
          <w:rFonts w:eastAsiaTheme="minorEastAsia"/>
        </w:rPr>
        <w:t>.</w:t>
      </w:r>
      <w:r w:rsidRPr="00D1540F" w:rsidR="00683923">
        <w:rPr>
          <w:rFonts w:eastAsiaTheme="minorEastAsia"/>
        </w:rPr>
        <w:t xml:space="preserve">However, </w:t>
      </w:r>
      <w:r w:rsidRPr="00D1540F" w:rsidR="00BD1FC0">
        <w:rPr>
          <w:rFonts w:eastAsiaTheme="minorEastAsia"/>
        </w:rPr>
        <w:t xml:space="preserve">by </w:t>
      </w:r>
      <w:r w:rsidRPr="00D1540F" w:rsidR="00683923">
        <w:rPr>
          <w:rFonts w:eastAsiaTheme="minorEastAsia"/>
        </w:rPr>
        <w:t xml:space="preserve">using this application, voters can get information on the name of the polling station, but not precise information about the polling station address or a </w:t>
      </w:r>
      <w:r w:rsidRPr="00D1540F" w:rsidR="00BD1FC0">
        <w:rPr>
          <w:rFonts w:eastAsiaTheme="minorEastAsia"/>
        </w:rPr>
        <w:t>map</w:t>
      </w:r>
      <w:r w:rsidRPr="00D1540F" w:rsidR="00683923">
        <w:rPr>
          <w:rFonts w:eastAsiaTheme="minorEastAsia"/>
        </w:rPr>
        <w:t xml:space="preserve"> that will help </w:t>
      </w:r>
      <w:r w:rsidRPr="00D1540F" w:rsidR="00BD1FC0">
        <w:rPr>
          <w:rFonts w:eastAsiaTheme="minorEastAsia"/>
        </w:rPr>
        <w:t xml:space="preserve">them </w:t>
      </w:r>
      <w:r w:rsidRPr="00D1540F" w:rsidR="00683923">
        <w:rPr>
          <w:rFonts w:eastAsiaTheme="minorEastAsia"/>
        </w:rPr>
        <w:t>find their polling station easier.</w:t>
      </w:r>
    </w:p>
    <w:p w:rsidRPr="00D1540F" w:rsidR="00405E61" w:rsidP="00405E61" w:rsidRDefault="00405E61" w14:paraId="2DB4DF9F" w14:textId="07CE2D14">
      <w:pPr>
        <w:jc w:val="both"/>
        <w:rPr>
          <w:rFonts w:eastAsiaTheme="minorEastAsia"/>
          <w:i/>
        </w:rPr>
      </w:pPr>
      <w:r w:rsidRPr="00D1540F">
        <w:rPr>
          <w:rFonts w:eastAsiaTheme="minorEastAsia"/>
          <w:i/>
        </w:rPr>
        <w:t>Does the SEC website provide information on election rules and about what constitutes electoral irregularities and election fraud?</w:t>
      </w:r>
    </w:p>
    <w:p w:rsidRPr="00D1540F" w:rsidR="00405E61" w:rsidP="00405E61" w:rsidRDefault="00F32446" w14:paraId="0EF3A2E4" w14:textId="68DBFE52">
      <w:pPr>
        <w:jc w:val="both"/>
        <w:rPr>
          <w:rFonts w:eastAsiaTheme="minorEastAsia"/>
        </w:rPr>
      </w:pPr>
      <w:r w:rsidRPr="00D1540F">
        <w:rPr>
          <w:rFonts w:eastAsiaTheme="minorEastAsia"/>
        </w:rPr>
        <w:t>Fulfillment</w:t>
      </w:r>
      <w:r w:rsidRPr="00D1540F" w:rsidR="00405E61">
        <w:rPr>
          <w:rFonts w:eastAsiaTheme="minorEastAsia"/>
        </w:rPr>
        <w:t xml:space="preserve"> of this indicator </w:t>
      </w:r>
      <w:r w:rsidR="001F527E">
        <w:rPr>
          <w:rFonts w:eastAsiaTheme="minorEastAsia"/>
        </w:rPr>
        <w:t>was estimated at</w:t>
      </w:r>
      <w:r w:rsidRPr="00D1540F" w:rsidR="00405E61">
        <w:rPr>
          <w:rFonts w:eastAsiaTheme="minorEastAsia"/>
        </w:rPr>
        <w:t xml:space="preserve"> 0</w:t>
      </w:r>
      <w:r w:rsidR="00F66F9E">
        <w:rPr>
          <w:rFonts w:eastAsiaTheme="minorEastAsia"/>
        </w:rPr>
        <w:t>,</w:t>
      </w:r>
      <w:r w:rsidRPr="00D1540F" w:rsidR="00405E61">
        <w:rPr>
          <w:rFonts w:eastAsiaTheme="minorEastAsia"/>
        </w:rPr>
        <w:t xml:space="preserve"> because although the SEC website contains laws and bylaws related to </w:t>
      </w:r>
      <w:r w:rsidR="00F66F9E">
        <w:rPr>
          <w:rFonts w:eastAsiaTheme="minorEastAsia"/>
        </w:rPr>
        <w:t xml:space="preserve">the </w:t>
      </w:r>
      <w:r w:rsidRPr="00D1540F" w:rsidR="00405E61">
        <w:rPr>
          <w:rFonts w:eastAsiaTheme="minorEastAsia"/>
        </w:rPr>
        <w:t>elections process, it does not provide any information to citizens about election irregularities that would help them understand complex electoral legislation.</w:t>
      </w:r>
    </w:p>
    <w:p w:rsidRPr="00D1540F" w:rsidR="00683923" w:rsidP="00683923" w:rsidRDefault="00405E61" w14:paraId="0CB0EB04" w14:textId="12DA6015">
      <w:pPr>
        <w:jc w:val="both"/>
        <w:rPr>
          <w:rFonts w:eastAsiaTheme="minorEastAsia"/>
          <w:i/>
        </w:rPr>
      </w:pPr>
      <w:r w:rsidRPr="00D1540F">
        <w:rPr>
          <w:rFonts w:eastAsiaTheme="minorEastAsia"/>
          <w:i/>
        </w:rPr>
        <w:t>Does the SEC website contain a guide for</w:t>
      </w:r>
      <w:r w:rsidRPr="00D1540F" w:rsidR="00683923">
        <w:rPr>
          <w:rFonts w:eastAsiaTheme="minorEastAsia"/>
          <w:i/>
        </w:rPr>
        <w:t xml:space="preserve"> citizens</w:t>
      </w:r>
      <w:r w:rsidRPr="00D1540F">
        <w:rPr>
          <w:rFonts w:eastAsiaTheme="minorEastAsia"/>
          <w:i/>
        </w:rPr>
        <w:t xml:space="preserve"> on</w:t>
      </w:r>
      <w:r w:rsidRPr="00D1540F" w:rsidR="00683923">
        <w:rPr>
          <w:rFonts w:eastAsiaTheme="minorEastAsia"/>
          <w:i/>
        </w:rPr>
        <w:t xml:space="preserve"> how to </w:t>
      </w:r>
      <w:r w:rsidR="00F66F9E">
        <w:rPr>
          <w:rFonts w:eastAsiaTheme="minorEastAsia"/>
          <w:i/>
        </w:rPr>
        <w:t>lodge a complaint</w:t>
      </w:r>
      <w:r w:rsidRPr="00D1540F" w:rsidR="00683923">
        <w:rPr>
          <w:rFonts w:eastAsiaTheme="minorEastAsia"/>
          <w:i/>
        </w:rPr>
        <w:t xml:space="preserve"> in case of violation of electoral rules?</w:t>
      </w:r>
    </w:p>
    <w:p w:rsidRPr="00D1540F" w:rsidR="00683923" w:rsidP="00683923" w:rsidRDefault="00F32446" w14:paraId="7A34B930" w14:textId="7B22559F">
      <w:pPr>
        <w:jc w:val="both"/>
        <w:rPr>
          <w:rFonts w:eastAsiaTheme="minorEastAsia"/>
        </w:rPr>
      </w:pPr>
      <w:r w:rsidRPr="00D1540F">
        <w:rPr>
          <w:rFonts w:eastAsiaTheme="minorEastAsia"/>
        </w:rPr>
        <w:t>Fulfillment</w:t>
      </w:r>
      <w:r w:rsidRPr="00D1540F" w:rsidR="00405E61">
        <w:rPr>
          <w:rFonts w:eastAsiaTheme="minorEastAsia"/>
        </w:rPr>
        <w:t xml:space="preserve"> of this indicator </w:t>
      </w:r>
      <w:r w:rsidR="001F527E">
        <w:rPr>
          <w:rFonts w:eastAsiaTheme="minorEastAsia"/>
        </w:rPr>
        <w:t>was estimated at</w:t>
      </w:r>
      <w:r w:rsidRPr="00D1540F" w:rsidR="00683923">
        <w:rPr>
          <w:rFonts w:eastAsiaTheme="minorEastAsia"/>
        </w:rPr>
        <w:t xml:space="preserve"> 0</w:t>
      </w:r>
      <w:r w:rsidR="0037207E">
        <w:rPr>
          <w:rFonts w:eastAsiaTheme="minorEastAsia"/>
        </w:rPr>
        <w:t>,</w:t>
      </w:r>
      <w:r w:rsidRPr="00D1540F" w:rsidR="00683923">
        <w:rPr>
          <w:rFonts w:eastAsiaTheme="minorEastAsia"/>
        </w:rPr>
        <w:t xml:space="preserve"> because the </w:t>
      </w:r>
      <w:r w:rsidRPr="00D1540F" w:rsidR="00405E61">
        <w:rPr>
          <w:rFonts w:eastAsiaTheme="minorEastAsia"/>
        </w:rPr>
        <w:t>SEC</w:t>
      </w:r>
      <w:r w:rsidRPr="00D1540F" w:rsidR="00683923">
        <w:rPr>
          <w:rFonts w:eastAsiaTheme="minorEastAsia"/>
        </w:rPr>
        <w:t xml:space="preserve"> website does not contain a guide </w:t>
      </w:r>
      <w:r w:rsidRPr="00D1540F" w:rsidR="00405E61">
        <w:rPr>
          <w:rFonts w:eastAsiaTheme="minorEastAsia"/>
        </w:rPr>
        <w:t>for</w:t>
      </w:r>
      <w:r w:rsidRPr="00D1540F" w:rsidR="00683923">
        <w:rPr>
          <w:rFonts w:eastAsiaTheme="minorEastAsia"/>
        </w:rPr>
        <w:t xml:space="preserve"> citizens</w:t>
      </w:r>
      <w:r w:rsidRPr="00D1540F" w:rsidR="00405E61">
        <w:rPr>
          <w:rFonts w:eastAsiaTheme="minorEastAsia"/>
        </w:rPr>
        <w:t xml:space="preserve"> on</w:t>
      </w:r>
      <w:r w:rsidRPr="00D1540F" w:rsidR="00683923">
        <w:rPr>
          <w:rFonts w:eastAsiaTheme="minorEastAsia"/>
        </w:rPr>
        <w:t xml:space="preserve"> how</w:t>
      </w:r>
      <w:r w:rsidRPr="00D1540F" w:rsidR="00405E61">
        <w:rPr>
          <w:rFonts w:eastAsiaTheme="minorEastAsia"/>
        </w:rPr>
        <w:t xml:space="preserve"> to</w:t>
      </w:r>
      <w:r w:rsidRPr="00D1540F" w:rsidR="00683923">
        <w:rPr>
          <w:rFonts w:eastAsiaTheme="minorEastAsia"/>
        </w:rPr>
        <w:t xml:space="preserve">, in what form and to whom they can </w:t>
      </w:r>
      <w:r w:rsidRPr="00D1540F" w:rsidR="00F855CA">
        <w:rPr>
          <w:rFonts w:eastAsiaTheme="minorEastAsia"/>
        </w:rPr>
        <w:t>lodge a complaint</w:t>
      </w:r>
      <w:r w:rsidRPr="00D1540F" w:rsidR="00683923">
        <w:rPr>
          <w:rFonts w:eastAsiaTheme="minorEastAsia"/>
        </w:rPr>
        <w:t xml:space="preserve"> </w:t>
      </w:r>
      <w:r w:rsidRPr="00D1540F" w:rsidR="00F855CA">
        <w:rPr>
          <w:rFonts w:eastAsiaTheme="minorEastAsia"/>
        </w:rPr>
        <w:t>for reasons of the infringement of the electoral rights during the election</w:t>
      </w:r>
      <w:r w:rsidR="0037207E">
        <w:rPr>
          <w:rFonts w:eastAsiaTheme="minorEastAsia"/>
        </w:rPr>
        <w:t>s</w:t>
      </w:r>
      <w:r w:rsidRPr="00D1540F" w:rsidR="00683923">
        <w:rPr>
          <w:rFonts w:eastAsiaTheme="minorEastAsia"/>
        </w:rPr>
        <w:t xml:space="preserve">. </w:t>
      </w:r>
      <w:r w:rsidRPr="00D1540F" w:rsidR="00405E61">
        <w:rPr>
          <w:rFonts w:eastAsiaTheme="minorEastAsia"/>
        </w:rPr>
        <w:t>Furthermore</w:t>
      </w:r>
      <w:r w:rsidRPr="00D1540F" w:rsidR="00683923">
        <w:rPr>
          <w:rFonts w:eastAsiaTheme="minorEastAsia"/>
        </w:rPr>
        <w:t xml:space="preserve">, there is no form </w:t>
      </w:r>
      <w:r w:rsidRPr="00D1540F" w:rsidR="00405E61">
        <w:rPr>
          <w:rFonts w:eastAsiaTheme="minorEastAsia"/>
        </w:rPr>
        <w:t xml:space="preserve">on the website </w:t>
      </w:r>
      <w:r w:rsidRPr="00D1540F" w:rsidR="00683923">
        <w:rPr>
          <w:rFonts w:eastAsiaTheme="minorEastAsia"/>
        </w:rPr>
        <w:t xml:space="preserve">over which the voter would more easily </w:t>
      </w:r>
      <w:r w:rsidRPr="00D1540F" w:rsidR="00755831">
        <w:rPr>
          <w:rFonts w:eastAsiaTheme="minorEastAsia"/>
        </w:rPr>
        <w:t>lodge</w:t>
      </w:r>
      <w:r w:rsidRPr="00D1540F" w:rsidR="00405E61">
        <w:rPr>
          <w:rFonts w:eastAsiaTheme="minorEastAsia"/>
        </w:rPr>
        <w:t xml:space="preserve"> a complaint to </w:t>
      </w:r>
      <w:r w:rsidRPr="00D1540F" w:rsidR="00683923">
        <w:rPr>
          <w:rFonts w:eastAsiaTheme="minorEastAsia"/>
        </w:rPr>
        <w:t>the procedure.</w:t>
      </w:r>
    </w:p>
    <w:p w:rsidR="00683923" w:rsidP="00683923" w:rsidRDefault="00405E61" w14:paraId="104E3A02" w14:textId="76242937">
      <w:pPr>
        <w:jc w:val="both"/>
        <w:rPr>
          <w:rFonts w:eastAsiaTheme="minorEastAsia"/>
        </w:rPr>
      </w:pPr>
      <w:r w:rsidRPr="00D1540F">
        <w:rPr>
          <w:rFonts w:eastAsiaTheme="minorEastAsia"/>
        </w:rPr>
        <w:t>The L</w:t>
      </w:r>
      <w:r w:rsidRPr="00D1540F" w:rsidR="00683923">
        <w:rPr>
          <w:rFonts w:eastAsiaTheme="minorEastAsia"/>
        </w:rPr>
        <w:t xml:space="preserve">aw stipulates that </w:t>
      </w:r>
      <w:r w:rsidRPr="00D1540F" w:rsidR="002D6B54">
        <w:rPr>
          <w:rFonts w:eastAsiaTheme="minorEastAsia"/>
        </w:rPr>
        <w:t>e</w:t>
      </w:r>
      <w:r w:rsidR="0037207E">
        <w:rPr>
          <w:rFonts w:eastAsiaTheme="minorEastAsia"/>
        </w:rPr>
        <w:t>ach voter</w:t>
      </w:r>
      <w:r w:rsidRPr="00D1540F" w:rsidR="002D6B54">
        <w:rPr>
          <w:rFonts w:eastAsiaTheme="minorEastAsia"/>
        </w:rPr>
        <w:t xml:space="preserve">, candidate and </w:t>
      </w:r>
      <w:r w:rsidRPr="0037207E" w:rsidR="0037207E">
        <w:rPr>
          <w:rFonts w:eastAsiaTheme="minorEastAsia"/>
        </w:rPr>
        <w:t xml:space="preserve">candidate list submitting entity </w:t>
      </w:r>
      <w:r w:rsidR="0037207E">
        <w:rPr>
          <w:rFonts w:eastAsiaTheme="minorEastAsia"/>
        </w:rPr>
        <w:t>are entitled to</w:t>
      </w:r>
      <w:r w:rsidRPr="00D1540F" w:rsidR="002D6B54">
        <w:rPr>
          <w:rFonts w:eastAsiaTheme="minorEastAsia"/>
        </w:rPr>
        <w:t xml:space="preserve"> lodge a complaint to the competent election commission for reasons of the infringement of the electoral rights during the election</w:t>
      </w:r>
      <w:r w:rsidR="0037207E">
        <w:rPr>
          <w:rFonts w:eastAsiaTheme="minorEastAsia"/>
        </w:rPr>
        <w:t xml:space="preserve"> process</w:t>
      </w:r>
      <w:r w:rsidRPr="00D1540F">
        <w:rPr>
          <w:rStyle w:val="FootnoteReference"/>
          <w:rFonts w:eastAsiaTheme="minorEastAsia"/>
        </w:rPr>
        <w:footnoteReference w:id="11"/>
      </w:r>
      <w:r w:rsidRPr="00D1540F" w:rsidR="00683923">
        <w:rPr>
          <w:rFonts w:eastAsiaTheme="minorEastAsia"/>
        </w:rPr>
        <w:t xml:space="preserve">. In practice, this </w:t>
      </w:r>
      <w:r w:rsidR="0037207E">
        <w:rPr>
          <w:rFonts w:eastAsiaTheme="minorEastAsia"/>
        </w:rPr>
        <w:t>right</w:t>
      </w:r>
      <w:r w:rsidRPr="00D1540F" w:rsidR="00683923">
        <w:rPr>
          <w:rFonts w:eastAsiaTheme="minorEastAsia"/>
        </w:rPr>
        <w:t xml:space="preserve"> is often used by </w:t>
      </w:r>
      <w:r w:rsidR="0037207E">
        <w:rPr>
          <w:rFonts w:eastAsiaTheme="minorEastAsia"/>
        </w:rPr>
        <w:t xml:space="preserve">political </w:t>
      </w:r>
      <w:r w:rsidRPr="00D1540F" w:rsidR="00683923">
        <w:rPr>
          <w:rFonts w:eastAsiaTheme="minorEastAsia"/>
        </w:rPr>
        <w:t xml:space="preserve">parties and candidates </w:t>
      </w:r>
      <w:r w:rsidRPr="00D1540F" w:rsidR="00683923">
        <w:rPr>
          <w:rFonts w:eastAsiaTheme="minorEastAsia"/>
        </w:rPr>
        <w:lastRenderedPageBreak/>
        <w:t xml:space="preserve">because </w:t>
      </w:r>
      <w:r w:rsidRPr="00D1540F" w:rsidR="00F855CA">
        <w:rPr>
          <w:rFonts w:eastAsiaTheme="minorEastAsia"/>
        </w:rPr>
        <w:t>citizens can hardly get clear information about w</w:t>
      </w:r>
      <w:r w:rsidRPr="00D1540F" w:rsidR="00683923">
        <w:rPr>
          <w:rFonts w:eastAsiaTheme="minorEastAsia"/>
        </w:rPr>
        <w:t xml:space="preserve">hat is not allowed and how </w:t>
      </w:r>
      <w:r w:rsidRPr="00D1540F" w:rsidR="00F855CA">
        <w:rPr>
          <w:rFonts w:eastAsiaTheme="minorEastAsia"/>
        </w:rPr>
        <w:t>and to whom</w:t>
      </w:r>
      <w:r w:rsidRPr="00D1540F" w:rsidR="00683923">
        <w:rPr>
          <w:rFonts w:eastAsiaTheme="minorEastAsia"/>
        </w:rPr>
        <w:t xml:space="preserve"> </w:t>
      </w:r>
      <w:r w:rsidRPr="00D1540F" w:rsidR="00F855CA">
        <w:rPr>
          <w:rFonts w:eastAsiaTheme="minorEastAsia"/>
        </w:rPr>
        <w:t xml:space="preserve">to lodge a </w:t>
      </w:r>
      <w:r w:rsidRPr="00D1540F" w:rsidR="00683923">
        <w:rPr>
          <w:rFonts w:eastAsiaTheme="minorEastAsia"/>
        </w:rPr>
        <w:t>complain</w:t>
      </w:r>
      <w:r w:rsidRPr="00D1540F" w:rsidR="00F855CA">
        <w:rPr>
          <w:rFonts w:eastAsiaTheme="minorEastAsia"/>
        </w:rPr>
        <w:t>t</w:t>
      </w:r>
      <w:r w:rsidRPr="00D1540F" w:rsidR="00683923">
        <w:rPr>
          <w:rFonts w:eastAsiaTheme="minorEastAsia"/>
        </w:rPr>
        <w:t>.</w:t>
      </w:r>
    </w:p>
    <w:p w:rsidRPr="00D1540F" w:rsidR="00683923" w:rsidP="00683923" w:rsidRDefault="00683923" w14:paraId="09ADB06D" w14:textId="0CAD0676">
      <w:pPr>
        <w:jc w:val="both"/>
        <w:rPr>
          <w:rFonts w:eastAsiaTheme="minorEastAsia"/>
          <w:b/>
          <w:bCs/>
        </w:rPr>
      </w:pPr>
      <w:r w:rsidRPr="00D1540F">
        <w:rPr>
          <w:rFonts w:eastAsiaTheme="minorEastAsia"/>
          <w:b/>
          <w:bCs/>
        </w:rPr>
        <w:t xml:space="preserve">Transparency without media - 45.8% </w:t>
      </w:r>
      <w:r w:rsidRPr="005425FB" w:rsidR="005425FB">
        <w:rPr>
          <w:rFonts w:eastAsiaTheme="minorEastAsia"/>
          <w:b/>
          <w:bCs/>
        </w:rPr>
        <w:t>of the set parameters met</w:t>
      </w:r>
    </w:p>
    <w:p w:rsidRPr="00D1540F" w:rsidR="00683923" w:rsidP="00683923" w:rsidRDefault="00683923" w14:paraId="0A267AFD" w14:textId="05694E83">
      <w:pPr>
        <w:jc w:val="both"/>
        <w:rPr>
          <w:rFonts w:eastAsiaTheme="minorEastAsia"/>
          <w:bCs/>
          <w:i/>
        </w:rPr>
      </w:pPr>
      <w:r w:rsidRPr="00D1540F">
        <w:rPr>
          <w:rFonts w:eastAsiaTheme="minorEastAsia"/>
          <w:bCs/>
          <w:i/>
        </w:rPr>
        <w:t>After the 2016 election</w:t>
      </w:r>
      <w:r w:rsidR="0037207E">
        <w:rPr>
          <w:rFonts w:eastAsiaTheme="minorEastAsia"/>
          <w:bCs/>
          <w:i/>
        </w:rPr>
        <w:t>s</w:t>
      </w:r>
      <w:r w:rsidRPr="00D1540F">
        <w:rPr>
          <w:rFonts w:eastAsiaTheme="minorEastAsia"/>
          <w:bCs/>
          <w:i/>
        </w:rPr>
        <w:t xml:space="preserve">, </w:t>
      </w:r>
      <w:r w:rsidRPr="00D1540F" w:rsidR="00755831">
        <w:rPr>
          <w:rFonts w:eastAsiaTheme="minorEastAsia"/>
          <w:bCs/>
          <w:i/>
        </w:rPr>
        <w:t>the SEC</w:t>
      </w:r>
      <w:r w:rsidRPr="00D1540F">
        <w:rPr>
          <w:rFonts w:eastAsiaTheme="minorEastAsia"/>
          <w:bCs/>
          <w:i/>
        </w:rPr>
        <w:t xml:space="preserve"> technically improved its website but </w:t>
      </w:r>
      <w:r w:rsidRPr="00D1540F" w:rsidR="00755831">
        <w:rPr>
          <w:rFonts w:eastAsiaTheme="minorEastAsia"/>
          <w:bCs/>
          <w:i/>
        </w:rPr>
        <w:t>one can still not</w:t>
      </w:r>
      <w:r w:rsidRPr="00D1540F">
        <w:rPr>
          <w:rFonts w:eastAsiaTheme="minorEastAsia"/>
          <w:bCs/>
          <w:i/>
        </w:rPr>
        <w:t xml:space="preserve"> find some of the most important information on its composition, decisions and activities. A special problem is</w:t>
      </w:r>
      <w:r w:rsidRPr="00D1540F" w:rsidR="00755831">
        <w:rPr>
          <w:rFonts w:eastAsiaTheme="minorEastAsia"/>
          <w:bCs/>
          <w:i/>
        </w:rPr>
        <w:t xml:space="preserve"> </w:t>
      </w:r>
      <w:r w:rsidR="0055659B">
        <w:rPr>
          <w:rFonts w:eastAsiaTheme="minorEastAsia"/>
          <w:bCs/>
          <w:i/>
        </w:rPr>
        <w:t xml:space="preserve">no </w:t>
      </w:r>
      <w:r w:rsidRPr="00D1540F" w:rsidR="00755831">
        <w:rPr>
          <w:rFonts w:eastAsiaTheme="minorEastAsia"/>
          <w:bCs/>
          <w:i/>
        </w:rPr>
        <w:t>obligation to publish a work report</w:t>
      </w:r>
      <w:r w:rsidRPr="00D1540F">
        <w:rPr>
          <w:rFonts w:eastAsiaTheme="minorEastAsia"/>
          <w:bCs/>
          <w:i/>
        </w:rPr>
        <w:t xml:space="preserve">. Given the lack of information on the website, </w:t>
      </w:r>
      <w:r w:rsidRPr="00D1540F" w:rsidR="00755831">
        <w:rPr>
          <w:rFonts w:eastAsiaTheme="minorEastAsia"/>
          <w:bCs/>
          <w:i/>
        </w:rPr>
        <w:t>sessions closed for the</w:t>
      </w:r>
      <w:r w:rsidRPr="00D1540F">
        <w:rPr>
          <w:rFonts w:eastAsiaTheme="minorEastAsia"/>
          <w:bCs/>
          <w:i/>
        </w:rPr>
        <w:t xml:space="preserve"> media and poor </w:t>
      </w:r>
      <w:r w:rsidRPr="00D1540F" w:rsidR="00755831">
        <w:rPr>
          <w:rFonts w:eastAsiaTheme="minorEastAsia"/>
          <w:bCs/>
          <w:i/>
        </w:rPr>
        <w:t>communication with them, and</w:t>
      </w:r>
      <w:r w:rsidRPr="00D1540F">
        <w:rPr>
          <w:rFonts w:eastAsiaTheme="minorEastAsia"/>
          <w:bCs/>
          <w:i/>
        </w:rPr>
        <w:t xml:space="preserve"> denial of information to the observers - it can be concluded that </w:t>
      </w:r>
      <w:r w:rsidRPr="00D1540F" w:rsidR="00755831">
        <w:rPr>
          <w:rFonts w:eastAsiaTheme="minorEastAsia"/>
          <w:bCs/>
          <w:i/>
        </w:rPr>
        <w:t>the SEC</w:t>
      </w:r>
      <w:r w:rsidRPr="00D1540F">
        <w:rPr>
          <w:rFonts w:eastAsiaTheme="minorEastAsia"/>
          <w:bCs/>
          <w:i/>
        </w:rPr>
        <w:t xml:space="preserve"> does not allow public oversight over its work</w:t>
      </w:r>
      <w:r w:rsidRPr="0055659B" w:rsidR="0055659B">
        <w:rPr>
          <w:rFonts w:eastAsiaTheme="minorEastAsia"/>
          <w:bCs/>
          <w:i/>
        </w:rPr>
        <w:t xml:space="preserve"> </w:t>
      </w:r>
      <w:r w:rsidRPr="00D1540F" w:rsidR="0055659B">
        <w:rPr>
          <w:rFonts w:eastAsiaTheme="minorEastAsia"/>
          <w:bCs/>
          <w:i/>
        </w:rPr>
        <w:t>to a sufficient degree</w:t>
      </w:r>
      <w:r w:rsidRPr="00D1540F">
        <w:rPr>
          <w:rFonts w:eastAsiaTheme="minorEastAsia"/>
          <w:bCs/>
          <w:i/>
        </w:rPr>
        <w:t>.</w:t>
      </w:r>
    </w:p>
    <w:p w:rsidRPr="00D1540F" w:rsidR="00755831" w:rsidP="00755831" w:rsidRDefault="00755831" w14:paraId="097BB290" w14:textId="405C43C8">
      <w:pPr>
        <w:jc w:val="both"/>
        <w:rPr>
          <w:rFonts w:eastAsiaTheme="minorEastAsia"/>
          <w:i/>
        </w:rPr>
      </w:pPr>
      <w:r w:rsidRPr="00D1540F">
        <w:rPr>
          <w:rFonts w:eastAsiaTheme="minorEastAsia"/>
          <w:i/>
        </w:rPr>
        <w:t>Is there an e</w:t>
      </w:r>
      <w:r w:rsidR="00C33444">
        <w:rPr>
          <w:rFonts w:eastAsiaTheme="minorEastAsia"/>
          <w:i/>
        </w:rPr>
        <w:t>-</w:t>
      </w:r>
      <w:r w:rsidRPr="00D1540F">
        <w:rPr>
          <w:rFonts w:eastAsiaTheme="minorEastAsia"/>
          <w:i/>
        </w:rPr>
        <w:t>mail contact on the SEC website?</w:t>
      </w:r>
    </w:p>
    <w:p w:rsidRPr="00D1540F" w:rsidR="00755831" w:rsidP="00755831" w:rsidRDefault="00755831" w14:paraId="697DF23C" w14:textId="79348E1F">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Pr="00D1540F">
        <w:rPr>
          <w:rFonts w:eastAsiaTheme="minorEastAsia"/>
        </w:rPr>
        <w:t xml:space="preserve"> 1, </w:t>
      </w:r>
      <w:r w:rsidR="00C33444">
        <w:rPr>
          <w:rFonts w:eastAsiaTheme="minorEastAsia"/>
        </w:rPr>
        <w:t xml:space="preserve">because </w:t>
      </w:r>
      <w:r w:rsidRPr="00D1540F">
        <w:rPr>
          <w:rFonts w:eastAsiaTheme="minorEastAsia"/>
        </w:rPr>
        <w:t>there is an e</w:t>
      </w:r>
      <w:r w:rsidR="00C33444">
        <w:rPr>
          <w:rFonts w:eastAsiaTheme="minorEastAsia"/>
        </w:rPr>
        <w:t>-</w:t>
      </w:r>
      <w:r w:rsidRPr="00D1540F">
        <w:rPr>
          <w:rFonts w:eastAsiaTheme="minorEastAsia"/>
        </w:rPr>
        <w:t>mail contact available at the SEC website.</w:t>
      </w:r>
    </w:p>
    <w:p w:rsidRPr="00D1540F" w:rsidR="00755831" w:rsidP="00755831" w:rsidRDefault="00755831" w14:paraId="1FC2E348" w14:textId="703D407B">
      <w:pPr>
        <w:jc w:val="both"/>
        <w:rPr>
          <w:rFonts w:eastAsiaTheme="minorEastAsia"/>
          <w:i/>
        </w:rPr>
      </w:pPr>
      <w:r w:rsidRPr="00D1540F">
        <w:rPr>
          <w:rFonts w:eastAsiaTheme="minorEastAsia"/>
          <w:i/>
        </w:rPr>
        <w:t>Are there personalized e</w:t>
      </w:r>
      <w:r w:rsidR="00C33444">
        <w:rPr>
          <w:rFonts w:eastAsiaTheme="minorEastAsia"/>
          <w:i/>
        </w:rPr>
        <w:t>-</w:t>
      </w:r>
      <w:r w:rsidRPr="00D1540F">
        <w:rPr>
          <w:rFonts w:eastAsiaTheme="minorEastAsia"/>
          <w:i/>
        </w:rPr>
        <w:t>mail contacts on the SEC website (of officials and officers)?</w:t>
      </w:r>
    </w:p>
    <w:p w:rsidRPr="00D1540F" w:rsidR="00755831" w:rsidP="00755831" w:rsidRDefault="00755831" w14:paraId="129601D3" w14:textId="78DFAD3C">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Pr="00D1540F">
        <w:rPr>
          <w:rFonts w:eastAsiaTheme="minorEastAsia"/>
        </w:rPr>
        <w:t xml:space="preserve"> 0, because there are no personalized e</w:t>
      </w:r>
      <w:r w:rsidR="00C33444">
        <w:rPr>
          <w:rFonts w:eastAsiaTheme="minorEastAsia"/>
        </w:rPr>
        <w:t>-</w:t>
      </w:r>
      <w:r w:rsidRPr="00D1540F">
        <w:rPr>
          <w:rFonts w:eastAsiaTheme="minorEastAsia"/>
        </w:rPr>
        <w:t>mail contacts of the SEC officials and officers on the SEC website.</w:t>
      </w:r>
    </w:p>
    <w:p w:rsidRPr="00D1540F" w:rsidR="00683923" w:rsidP="00683923" w:rsidRDefault="00D8022E" w14:paraId="33DE1625" w14:textId="322E68FF">
      <w:pPr>
        <w:jc w:val="both"/>
        <w:rPr>
          <w:rFonts w:eastAsiaTheme="minorEastAsia"/>
          <w:i/>
        </w:rPr>
      </w:pPr>
      <w:r w:rsidRPr="00D1540F">
        <w:rPr>
          <w:rFonts w:eastAsiaTheme="minorEastAsia"/>
          <w:i/>
        </w:rPr>
        <w:t xml:space="preserve">Are there </w:t>
      </w:r>
      <w:r w:rsidRPr="00D1540F" w:rsidR="00683923">
        <w:rPr>
          <w:rFonts w:eastAsiaTheme="minorEastAsia"/>
          <w:i/>
        </w:rPr>
        <w:t xml:space="preserve">contacts of </w:t>
      </w:r>
      <w:r w:rsidRPr="00D1540F">
        <w:rPr>
          <w:rFonts w:eastAsiaTheme="minorEastAsia"/>
          <w:i/>
        </w:rPr>
        <w:t>departments</w:t>
      </w:r>
      <w:r w:rsidRPr="00D1540F" w:rsidR="00683923">
        <w:rPr>
          <w:rFonts w:eastAsiaTheme="minorEastAsia"/>
          <w:i/>
        </w:rPr>
        <w:t>/organizational units (</w:t>
      </w:r>
      <w:r w:rsidRPr="00D1540F">
        <w:rPr>
          <w:rFonts w:eastAsiaTheme="minorEastAsia"/>
          <w:i/>
        </w:rPr>
        <w:t>as opposed to one generic contact</w:t>
      </w:r>
      <w:r w:rsidRPr="00D1540F" w:rsidR="00683923">
        <w:rPr>
          <w:rFonts w:eastAsiaTheme="minorEastAsia"/>
          <w:i/>
        </w:rPr>
        <w:t>)</w:t>
      </w:r>
      <w:r w:rsidRPr="00D1540F">
        <w:rPr>
          <w:rFonts w:eastAsiaTheme="minorEastAsia"/>
          <w:i/>
        </w:rPr>
        <w:t xml:space="preserve"> on the SEC website</w:t>
      </w:r>
      <w:r w:rsidRPr="00D1540F" w:rsidR="00683923">
        <w:rPr>
          <w:rFonts w:eastAsiaTheme="minorEastAsia"/>
          <w:i/>
        </w:rPr>
        <w:t>?</w:t>
      </w:r>
    </w:p>
    <w:p w:rsidRPr="00D1540F" w:rsidR="00683923" w:rsidP="00683923" w:rsidRDefault="00D8022E" w14:paraId="60D140E0" w14:textId="67E3B9C7">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Pr="00D1540F">
        <w:rPr>
          <w:rFonts w:eastAsiaTheme="minorEastAsia"/>
        </w:rPr>
        <w:t xml:space="preserve"> 0, </w:t>
      </w:r>
      <w:r w:rsidRPr="00D1540F" w:rsidR="00683923">
        <w:rPr>
          <w:rFonts w:eastAsiaTheme="minorEastAsia"/>
        </w:rPr>
        <w:t xml:space="preserve">because </w:t>
      </w:r>
      <w:r w:rsidRPr="00D1540F">
        <w:rPr>
          <w:rFonts w:eastAsiaTheme="minorEastAsia"/>
        </w:rPr>
        <w:t>there are no contact details of</w:t>
      </w:r>
      <w:r w:rsidRPr="00D1540F" w:rsidR="00683923">
        <w:rPr>
          <w:rFonts w:eastAsiaTheme="minorEastAsia"/>
        </w:rPr>
        <w:t xml:space="preserve"> organizational units</w:t>
      </w:r>
      <w:r w:rsidRPr="00D1540F">
        <w:rPr>
          <w:rFonts w:eastAsiaTheme="minorEastAsia"/>
        </w:rPr>
        <w:t xml:space="preserve"> on the SEC website</w:t>
      </w:r>
      <w:r w:rsidRPr="00D1540F" w:rsidR="00683923">
        <w:rPr>
          <w:rFonts w:eastAsiaTheme="minorEastAsia"/>
        </w:rPr>
        <w:t xml:space="preserve">, nor does the website provide information about the internal organization and the number of employees in this institution as there is no </w:t>
      </w:r>
      <w:r w:rsidR="00C33444">
        <w:rPr>
          <w:rFonts w:eastAsiaTheme="minorEastAsia"/>
        </w:rPr>
        <w:t>rulebook</w:t>
      </w:r>
      <w:r w:rsidRPr="00D1540F">
        <w:rPr>
          <w:rFonts w:eastAsiaTheme="minorEastAsia"/>
        </w:rPr>
        <w:t xml:space="preserve"> on </w:t>
      </w:r>
      <w:r w:rsidRPr="00D1540F" w:rsidR="00F32446">
        <w:rPr>
          <w:rFonts w:eastAsiaTheme="minorEastAsia"/>
        </w:rPr>
        <w:t>systematization</w:t>
      </w:r>
      <w:r w:rsidRPr="00D1540F">
        <w:rPr>
          <w:rFonts w:eastAsiaTheme="minorEastAsia"/>
        </w:rPr>
        <w:t xml:space="preserve"> of job positions or an organizational chart</w:t>
      </w:r>
      <w:r w:rsidRPr="00D1540F" w:rsidR="00683923">
        <w:rPr>
          <w:rFonts w:eastAsiaTheme="minorEastAsia"/>
        </w:rPr>
        <w:t>.</w:t>
      </w:r>
    </w:p>
    <w:p w:rsidRPr="00D1540F" w:rsidR="00D8022E" w:rsidP="00D8022E" w:rsidRDefault="00D8022E" w14:paraId="084048AC" w14:textId="4F2025DD">
      <w:pPr>
        <w:jc w:val="both"/>
        <w:rPr>
          <w:i/>
        </w:rPr>
      </w:pPr>
      <w:r w:rsidRPr="00D1540F">
        <w:rPr>
          <w:i/>
        </w:rPr>
        <w:t>Is there a contact phone number on the SEC website?</w:t>
      </w:r>
    </w:p>
    <w:p w:rsidRPr="00D1540F" w:rsidR="00D8022E" w:rsidP="00D8022E" w:rsidRDefault="00D8022E" w14:paraId="25309B4B" w14:textId="265AF6B7">
      <w:pPr>
        <w:jc w:val="both"/>
      </w:pPr>
      <w:r w:rsidRPr="00D1540F">
        <w:t xml:space="preserve">Fulfillment of this indicator </w:t>
      </w:r>
      <w:r w:rsidR="001F527E">
        <w:t>was estimated at</w:t>
      </w:r>
      <w:r w:rsidRPr="00D1540F">
        <w:t xml:space="preserve"> 1, </w:t>
      </w:r>
      <w:r w:rsidR="00C33444">
        <w:t xml:space="preserve">because </w:t>
      </w:r>
      <w:r w:rsidRPr="00D1540F">
        <w:t>there is a contact phone number on the SEC website.</w:t>
      </w:r>
    </w:p>
    <w:p w:rsidRPr="00D1540F" w:rsidR="00D8022E" w:rsidP="00D8022E" w:rsidRDefault="00E62F87" w14:paraId="54C2578C" w14:textId="25F3B607">
      <w:pPr>
        <w:jc w:val="both"/>
        <w:rPr>
          <w:i/>
        </w:rPr>
      </w:pPr>
      <w:r w:rsidRPr="00D1540F">
        <w:rPr>
          <w:i/>
        </w:rPr>
        <w:t>Are the</w:t>
      </w:r>
      <w:r w:rsidRPr="00D1540F" w:rsidR="00D8022E">
        <w:rPr>
          <w:i/>
        </w:rPr>
        <w:t xml:space="preserve"> results of the last two national elections</w:t>
      </w:r>
      <w:r w:rsidRPr="00D1540F">
        <w:rPr>
          <w:i/>
        </w:rPr>
        <w:t xml:space="preserve"> available</w:t>
      </w:r>
      <w:r w:rsidRPr="00D1540F" w:rsidR="00D8022E">
        <w:rPr>
          <w:i/>
        </w:rPr>
        <w:t xml:space="preserve"> </w:t>
      </w:r>
      <w:r w:rsidRPr="00D1540F">
        <w:rPr>
          <w:i/>
        </w:rPr>
        <w:t>on the SEC website</w:t>
      </w:r>
      <w:r w:rsidRPr="00D1540F" w:rsidR="00D8022E">
        <w:rPr>
          <w:i/>
        </w:rPr>
        <w:t xml:space="preserve">? </w:t>
      </w:r>
      <w:r w:rsidRPr="00D1540F">
        <w:rPr>
          <w:i/>
        </w:rPr>
        <w:t xml:space="preserve">Are the </w:t>
      </w:r>
      <w:r w:rsidRPr="00D1540F" w:rsidR="00D8022E">
        <w:rPr>
          <w:i/>
        </w:rPr>
        <w:t xml:space="preserve">results </w:t>
      </w:r>
      <w:r w:rsidRPr="00D1540F">
        <w:rPr>
          <w:i/>
        </w:rPr>
        <w:t>by</w:t>
      </w:r>
      <w:r w:rsidRPr="00D1540F" w:rsidR="00D8022E">
        <w:rPr>
          <w:i/>
        </w:rPr>
        <w:t xml:space="preserve"> municipalities and polling stations</w:t>
      </w:r>
      <w:r w:rsidRPr="00D1540F">
        <w:rPr>
          <w:i/>
        </w:rPr>
        <w:t xml:space="preserve"> available on the SEC website</w:t>
      </w:r>
      <w:r w:rsidRPr="00D1540F" w:rsidR="00D8022E">
        <w:rPr>
          <w:i/>
        </w:rPr>
        <w:t>?</w:t>
      </w:r>
    </w:p>
    <w:p w:rsidRPr="00D1540F" w:rsidR="00D8022E" w:rsidP="00D8022E" w:rsidRDefault="00E62F87" w14:paraId="3EA584C1" w14:textId="0AB781C8">
      <w:pPr>
        <w:jc w:val="both"/>
      </w:pPr>
      <w:r w:rsidRPr="00D1540F">
        <w:t xml:space="preserve">Fulfillment of this indicator </w:t>
      </w:r>
      <w:r w:rsidR="001F527E">
        <w:t>was estimated at</w:t>
      </w:r>
      <w:r w:rsidRPr="00D1540F">
        <w:t xml:space="preserve"> </w:t>
      </w:r>
      <w:r w:rsidRPr="00D1540F" w:rsidR="00D8022E">
        <w:t>1</w:t>
      </w:r>
      <w:r w:rsidR="00C33444">
        <w:t>,</w:t>
      </w:r>
      <w:r w:rsidRPr="00D1540F" w:rsidR="00D8022E">
        <w:t xml:space="preserve"> because the results of the last two national elections, both by municipalities and </w:t>
      </w:r>
      <w:r w:rsidRPr="00D1540F">
        <w:t xml:space="preserve">by </w:t>
      </w:r>
      <w:r w:rsidRPr="00D1540F" w:rsidR="00D8022E">
        <w:t>polling stations</w:t>
      </w:r>
      <w:r w:rsidRPr="00D1540F">
        <w:t xml:space="preserve"> are available on the SEC website</w:t>
      </w:r>
      <w:r w:rsidRPr="00D1540F" w:rsidR="00D8022E">
        <w:t>.</w:t>
      </w:r>
    </w:p>
    <w:p w:rsidRPr="00D1540F" w:rsidR="00683923" w:rsidP="00683923" w:rsidRDefault="00E62F87" w14:paraId="2E77717D" w14:textId="09603692">
      <w:pPr>
        <w:jc w:val="both"/>
        <w:rPr>
          <w:i/>
        </w:rPr>
      </w:pPr>
      <w:r w:rsidRPr="00D1540F">
        <w:rPr>
          <w:i/>
        </w:rPr>
        <w:t xml:space="preserve">Are the names of the </w:t>
      </w:r>
      <w:r w:rsidRPr="00D1540F" w:rsidR="00683923">
        <w:rPr>
          <w:i/>
        </w:rPr>
        <w:t>members</w:t>
      </w:r>
      <w:r w:rsidRPr="00D1540F">
        <w:rPr>
          <w:i/>
        </w:rPr>
        <w:t xml:space="preserve"> of the SEC</w:t>
      </w:r>
      <w:r w:rsidRPr="00D1540F" w:rsidR="00683923">
        <w:rPr>
          <w:i/>
        </w:rPr>
        <w:t xml:space="preserve"> and government officials in charge of elections</w:t>
      </w:r>
      <w:r w:rsidRPr="00D1540F">
        <w:rPr>
          <w:i/>
        </w:rPr>
        <w:t xml:space="preserve"> available on the SEC website</w:t>
      </w:r>
      <w:r w:rsidRPr="00D1540F" w:rsidR="00683923">
        <w:rPr>
          <w:i/>
        </w:rPr>
        <w:t>?</w:t>
      </w:r>
    </w:p>
    <w:p w:rsidRPr="00D1540F" w:rsidR="00683923" w:rsidP="00683923" w:rsidRDefault="00E62F87" w14:paraId="2C2F8F7B" w14:textId="57BA1DD0">
      <w:pPr>
        <w:jc w:val="both"/>
      </w:pPr>
      <w:r w:rsidRPr="00D1540F">
        <w:t xml:space="preserve">Fulfillment of this indicator </w:t>
      </w:r>
      <w:r w:rsidR="001F527E">
        <w:t>was estimated at</w:t>
      </w:r>
      <w:r w:rsidRPr="00D1540F">
        <w:t xml:space="preserve"> </w:t>
      </w:r>
      <w:r w:rsidRPr="00D1540F" w:rsidR="00683923">
        <w:t>0.25</w:t>
      </w:r>
      <w:r w:rsidR="00C33444">
        <w:t>,</w:t>
      </w:r>
      <w:r w:rsidRPr="00D1540F" w:rsidR="00683923">
        <w:t xml:space="preserve"> because </w:t>
      </w:r>
      <w:r w:rsidRPr="00D1540F">
        <w:t>names of</w:t>
      </w:r>
      <w:r w:rsidRPr="00D1540F" w:rsidR="00683923">
        <w:t xml:space="preserve"> the </w:t>
      </w:r>
      <w:r w:rsidR="00C33444">
        <w:t xml:space="preserve">standing </w:t>
      </w:r>
      <w:r w:rsidRPr="00D1540F" w:rsidR="00683923">
        <w:t xml:space="preserve">members </w:t>
      </w:r>
      <w:r w:rsidRPr="00D1540F">
        <w:t>are available on the SEC website, but</w:t>
      </w:r>
      <w:r w:rsidRPr="00D1540F" w:rsidR="00683923">
        <w:t xml:space="preserve"> </w:t>
      </w:r>
      <w:r w:rsidR="00C33444">
        <w:t>n</w:t>
      </w:r>
      <w:r w:rsidRPr="00D1540F" w:rsidR="00683923">
        <w:t>ames of</w:t>
      </w:r>
      <w:r w:rsidR="00C33444">
        <w:t xml:space="preserve"> the extended members as well as</w:t>
      </w:r>
      <w:r w:rsidRPr="00D1540F" w:rsidR="00683923">
        <w:t xml:space="preserve"> names o</w:t>
      </w:r>
      <w:r w:rsidRPr="00D1540F">
        <w:t>f the officials in charge of</w:t>
      </w:r>
      <w:r w:rsidRPr="00D1540F" w:rsidR="00683923">
        <w:t xml:space="preserve"> elections</w:t>
      </w:r>
      <w:r w:rsidRPr="00D1540F">
        <w:t xml:space="preserve"> are not available always and timely</w:t>
      </w:r>
      <w:r w:rsidRPr="00D1540F" w:rsidR="00683923">
        <w:t>.</w:t>
      </w:r>
    </w:p>
    <w:p w:rsidRPr="00D1540F" w:rsidR="00683923" w:rsidP="00683923" w:rsidRDefault="00E62F87" w14:paraId="0D683794" w14:textId="3CF67BC3">
      <w:pPr>
        <w:jc w:val="both"/>
      </w:pPr>
      <w:r w:rsidRPr="00D1540F">
        <w:t>During</w:t>
      </w:r>
      <w:r w:rsidRPr="00D1540F" w:rsidR="00683923">
        <w:t xml:space="preserve"> the 2018 presidential elections, </w:t>
      </w:r>
      <w:r w:rsidRPr="00D1540F">
        <w:t>the SEC</w:t>
      </w:r>
      <w:r w:rsidRPr="00D1540F" w:rsidR="00683923">
        <w:t xml:space="preserve"> </w:t>
      </w:r>
      <w:r w:rsidRPr="00D1540F">
        <w:t>published</w:t>
      </w:r>
      <w:r w:rsidRPr="00D1540F" w:rsidR="00683923">
        <w:t xml:space="preserve">, with delays, the decisions on appointing </w:t>
      </w:r>
      <w:r w:rsidR="00C33444">
        <w:t>empowered representative</w:t>
      </w:r>
      <w:r w:rsidRPr="00D1540F" w:rsidR="00683923">
        <w:t>s, so it was clear to the public who the</w:t>
      </w:r>
      <w:r w:rsidRPr="00D1540F">
        <w:t xml:space="preserve"> </w:t>
      </w:r>
      <w:r w:rsidRPr="00D1540F" w:rsidR="00683923">
        <w:t xml:space="preserve">members of the extended </w:t>
      </w:r>
      <w:r w:rsidRPr="00D1540F" w:rsidR="00683923">
        <w:lastRenderedPageBreak/>
        <w:t>composition</w:t>
      </w:r>
      <w:r w:rsidRPr="00D1540F">
        <w:t xml:space="preserve"> were</w:t>
      </w:r>
      <w:r w:rsidRPr="00D1540F" w:rsidR="00683923">
        <w:t xml:space="preserve">. However, in spite of persistent requests by the non-governmental sector and decisions of the competent institutions, </w:t>
      </w:r>
      <w:r w:rsidRPr="00D1540F">
        <w:t>the SEC continued</w:t>
      </w:r>
      <w:r w:rsidRPr="00D1540F" w:rsidR="00683923">
        <w:t xml:space="preserve"> to refuse to disclose information on the </w:t>
      </w:r>
      <w:r w:rsidR="00C33444">
        <w:t>empowered representative</w:t>
      </w:r>
      <w:r w:rsidRPr="00D1540F" w:rsidR="00683923">
        <w:t xml:space="preserve">s who participated in the work and decision-making of the </w:t>
      </w:r>
      <w:r w:rsidRPr="00D1540F">
        <w:t>SEC</w:t>
      </w:r>
      <w:r w:rsidRPr="00D1540F" w:rsidR="00683923">
        <w:t xml:space="preserve"> during the 2016 parliamentary elections.</w:t>
      </w:r>
    </w:p>
    <w:p w:rsidRPr="00D1540F" w:rsidR="00683923" w:rsidP="00683923" w:rsidRDefault="00683923" w14:paraId="7228EBE6" w14:textId="1326487E">
      <w:pPr>
        <w:jc w:val="both"/>
        <w:rPr>
          <w:i/>
        </w:rPr>
      </w:pPr>
      <w:r w:rsidRPr="00D1540F">
        <w:rPr>
          <w:i/>
        </w:rPr>
        <w:t xml:space="preserve">Are the qualifications, experience or biography of </w:t>
      </w:r>
      <w:r w:rsidRPr="00D1540F" w:rsidR="00E62F87">
        <w:rPr>
          <w:i/>
        </w:rPr>
        <w:t>the SEC</w:t>
      </w:r>
      <w:r w:rsidRPr="00D1540F">
        <w:rPr>
          <w:i/>
        </w:rPr>
        <w:t xml:space="preserve"> members available on the website?</w:t>
      </w:r>
    </w:p>
    <w:p w:rsidRPr="00D1540F" w:rsidR="00683923" w:rsidP="00683923" w:rsidRDefault="00D17407" w14:paraId="170222A5" w14:textId="55A902F2">
      <w:pPr>
        <w:jc w:val="both"/>
      </w:pPr>
      <w:r w:rsidRPr="00D1540F">
        <w:t xml:space="preserve">Fulfillment of this indicator </w:t>
      </w:r>
      <w:r w:rsidR="001F527E">
        <w:t>was estimated at</w:t>
      </w:r>
      <w:r w:rsidRPr="00D1540F">
        <w:t xml:space="preserve"> </w:t>
      </w:r>
      <w:r w:rsidRPr="00D1540F" w:rsidR="00683923">
        <w:t>0</w:t>
      </w:r>
      <w:r w:rsidR="00C33444">
        <w:t>,</w:t>
      </w:r>
      <w:r w:rsidRPr="00D1540F" w:rsidR="00683923">
        <w:t xml:space="preserve"> because the qualifications, experience and biography of </w:t>
      </w:r>
      <w:r w:rsidRPr="00D1540F">
        <w:t>the SEC</w:t>
      </w:r>
      <w:r w:rsidRPr="00D1540F" w:rsidR="00683923">
        <w:t xml:space="preserve"> members </w:t>
      </w:r>
      <w:r w:rsidRPr="00D1540F">
        <w:t xml:space="preserve">are not </w:t>
      </w:r>
      <w:r w:rsidRPr="00D1540F" w:rsidR="00683923">
        <w:t>available</w:t>
      </w:r>
      <w:r w:rsidRPr="00D1540F">
        <w:t xml:space="preserve"> on the SEC website.</w:t>
      </w:r>
    </w:p>
    <w:p w:rsidRPr="00D1540F" w:rsidR="00683923" w:rsidP="00683923" w:rsidRDefault="00EC2B2F" w14:paraId="34193BFD" w14:textId="70EBAE0B">
      <w:pPr>
        <w:jc w:val="both"/>
        <w:rPr>
          <w:rFonts w:eastAsiaTheme="minorEastAsia"/>
          <w:i/>
        </w:rPr>
      </w:pPr>
      <w:r w:rsidRPr="00D1540F">
        <w:rPr>
          <w:rFonts w:eastAsiaTheme="minorEastAsia"/>
          <w:i/>
        </w:rPr>
        <w:t>Is</w:t>
      </w:r>
      <w:r w:rsidRPr="00D1540F" w:rsidR="00683923">
        <w:rPr>
          <w:rFonts w:eastAsiaTheme="minorEastAsia"/>
          <w:i/>
        </w:rPr>
        <w:t xml:space="preserve"> all </w:t>
      </w:r>
      <w:r w:rsidRPr="00D1540F">
        <w:rPr>
          <w:rFonts w:eastAsiaTheme="minorEastAsia"/>
          <w:i/>
        </w:rPr>
        <w:t xml:space="preserve">of the </w:t>
      </w:r>
      <w:r w:rsidRPr="00D1540F" w:rsidR="00683923">
        <w:rPr>
          <w:rFonts w:eastAsiaTheme="minorEastAsia"/>
          <w:i/>
        </w:rPr>
        <w:t>information</w:t>
      </w:r>
      <w:r w:rsidRPr="00D1540F" w:rsidR="00D17407">
        <w:rPr>
          <w:rFonts w:eastAsiaTheme="minorEastAsia"/>
          <w:i/>
        </w:rPr>
        <w:t xml:space="preserve"> related to the work of the SEC</w:t>
      </w:r>
      <w:r w:rsidRPr="00D1540F" w:rsidR="00683923">
        <w:rPr>
          <w:rFonts w:eastAsiaTheme="minorEastAsia"/>
          <w:i/>
        </w:rPr>
        <w:t xml:space="preserve"> available to accredited observers?</w:t>
      </w:r>
    </w:p>
    <w:p w:rsidRPr="00D1540F" w:rsidR="00683923" w:rsidP="00683923" w:rsidRDefault="00D17407" w14:paraId="471F23FD" w14:textId="4FE2E34B">
      <w:pPr>
        <w:jc w:val="both"/>
        <w:rPr>
          <w:rFonts w:eastAsiaTheme="minorEastAsia"/>
        </w:rPr>
      </w:pPr>
      <w:r w:rsidRPr="00D1540F">
        <w:rPr>
          <w:rFonts w:eastAsiaTheme="minorEastAsia"/>
        </w:rPr>
        <w:t xml:space="preserve">Fulfillment of this indicator </w:t>
      </w:r>
      <w:r w:rsidR="001F527E">
        <w:rPr>
          <w:rFonts w:eastAsiaTheme="minorEastAsia"/>
        </w:rPr>
        <w:t>was estimated at</w:t>
      </w:r>
      <w:r w:rsidRPr="00D1540F">
        <w:rPr>
          <w:rFonts w:eastAsiaTheme="minorEastAsia"/>
        </w:rPr>
        <w:t xml:space="preserve"> </w:t>
      </w:r>
      <w:r w:rsidRPr="00D1540F" w:rsidR="00683923">
        <w:rPr>
          <w:rFonts w:eastAsiaTheme="minorEastAsia"/>
        </w:rPr>
        <w:t>0.5</w:t>
      </w:r>
      <w:r w:rsidR="00C33444">
        <w:rPr>
          <w:rFonts w:eastAsiaTheme="minorEastAsia"/>
        </w:rPr>
        <w:t>,</w:t>
      </w:r>
      <w:r w:rsidRPr="00D1540F" w:rsidR="00683923">
        <w:rPr>
          <w:rFonts w:eastAsiaTheme="minorEastAsia"/>
        </w:rPr>
        <w:t xml:space="preserve"> because not all </w:t>
      </w:r>
      <w:r w:rsidRPr="00D1540F" w:rsidR="00EC2B2F">
        <w:rPr>
          <w:rFonts w:eastAsiaTheme="minorEastAsia"/>
        </w:rPr>
        <w:t xml:space="preserve">of the </w:t>
      </w:r>
      <w:r w:rsidRPr="00D1540F" w:rsidR="00683923">
        <w:rPr>
          <w:rFonts w:eastAsiaTheme="minorEastAsia"/>
        </w:rPr>
        <w:t xml:space="preserve">information </w:t>
      </w:r>
      <w:r w:rsidRPr="00D1540F">
        <w:rPr>
          <w:rFonts w:eastAsiaTheme="minorEastAsia"/>
        </w:rPr>
        <w:t>related to the work of the SEC</w:t>
      </w:r>
      <w:r w:rsidRPr="00D1540F" w:rsidR="00683923">
        <w:rPr>
          <w:rFonts w:eastAsiaTheme="minorEastAsia"/>
        </w:rPr>
        <w:t xml:space="preserve"> </w:t>
      </w:r>
      <w:r w:rsidRPr="00D1540F" w:rsidR="00EC2B2F">
        <w:rPr>
          <w:rFonts w:eastAsiaTheme="minorEastAsia"/>
        </w:rPr>
        <w:t xml:space="preserve">is </w:t>
      </w:r>
      <w:r w:rsidRPr="00D1540F" w:rsidR="00683923">
        <w:rPr>
          <w:rFonts w:eastAsiaTheme="minorEastAsia"/>
        </w:rPr>
        <w:t>available to accredited observers.</w:t>
      </w:r>
    </w:p>
    <w:p w:rsidRPr="00D1540F" w:rsidR="00683923" w:rsidP="00683923" w:rsidRDefault="007D3BDC" w14:paraId="5B8AA1F3" w14:textId="26D1FD1E">
      <w:pPr>
        <w:jc w:val="both"/>
        <w:rPr>
          <w:rFonts w:eastAsiaTheme="minorEastAsia"/>
        </w:rPr>
      </w:pPr>
      <w:r w:rsidRPr="00D1540F">
        <w:rPr>
          <w:rFonts w:eastAsiaTheme="minorEastAsia"/>
        </w:rPr>
        <w:t>Observers</w:t>
      </w:r>
      <w:r w:rsidRPr="00D1540F" w:rsidR="00683923">
        <w:rPr>
          <w:rFonts w:eastAsiaTheme="minorEastAsia"/>
        </w:rPr>
        <w:t xml:space="preserve"> attending</w:t>
      </w:r>
      <w:r w:rsidRPr="00D1540F">
        <w:rPr>
          <w:rFonts w:eastAsiaTheme="minorEastAsia"/>
        </w:rPr>
        <w:t xml:space="preserve"> the SEC</w:t>
      </w:r>
      <w:r w:rsidRPr="00D1540F" w:rsidR="00683923">
        <w:rPr>
          <w:rFonts w:eastAsiaTheme="minorEastAsia"/>
        </w:rPr>
        <w:t xml:space="preserve"> sessions receive the materials discussed at the </w:t>
      </w:r>
      <w:r w:rsidRPr="00D1540F">
        <w:rPr>
          <w:rFonts w:eastAsiaTheme="minorEastAsia"/>
        </w:rPr>
        <w:t>SEC</w:t>
      </w:r>
      <w:r w:rsidRPr="00D1540F" w:rsidR="00683923">
        <w:rPr>
          <w:rFonts w:eastAsiaTheme="minorEastAsia"/>
        </w:rPr>
        <w:t xml:space="preserve"> session. However, accredited observers often do not have access to adjuvant or supplementary materials obtained by </w:t>
      </w:r>
      <w:r w:rsidRPr="00D1540F">
        <w:rPr>
          <w:rFonts w:eastAsiaTheme="minorEastAsia"/>
        </w:rPr>
        <w:t>the SEC</w:t>
      </w:r>
      <w:r w:rsidRPr="00D1540F" w:rsidR="00683923">
        <w:rPr>
          <w:rFonts w:eastAsiaTheme="minorEastAsia"/>
        </w:rPr>
        <w:t xml:space="preserve"> members. In addition, observers </w:t>
      </w:r>
      <w:r w:rsidRPr="00D1540F">
        <w:rPr>
          <w:rFonts w:eastAsiaTheme="minorEastAsia"/>
        </w:rPr>
        <w:t>are</w:t>
      </w:r>
      <w:r w:rsidRPr="00D1540F" w:rsidR="00683923">
        <w:rPr>
          <w:rFonts w:eastAsiaTheme="minorEastAsia"/>
        </w:rPr>
        <w:t xml:space="preserve"> not provide</w:t>
      </w:r>
      <w:r w:rsidRPr="00D1540F">
        <w:rPr>
          <w:rFonts w:eastAsiaTheme="minorEastAsia"/>
        </w:rPr>
        <w:t>d</w:t>
      </w:r>
      <w:r w:rsidRPr="00D1540F" w:rsidR="00683923">
        <w:rPr>
          <w:rFonts w:eastAsiaTheme="minorEastAsia"/>
        </w:rPr>
        <w:t xml:space="preserve"> </w:t>
      </w:r>
      <w:r w:rsidRPr="00D1540F">
        <w:rPr>
          <w:rFonts w:eastAsiaTheme="minorEastAsia"/>
        </w:rPr>
        <w:t xml:space="preserve">with </w:t>
      </w:r>
      <w:r w:rsidRPr="00D1540F" w:rsidR="00683923">
        <w:rPr>
          <w:rFonts w:eastAsiaTheme="minorEastAsia"/>
        </w:rPr>
        <w:t xml:space="preserve">direct insight into the materials submitted by candidates and lists in order to validate the candidacy. </w:t>
      </w:r>
      <w:r w:rsidRPr="00D1540F">
        <w:rPr>
          <w:rFonts w:eastAsiaTheme="minorEastAsia"/>
        </w:rPr>
        <w:t>Furthermore</w:t>
      </w:r>
      <w:r w:rsidRPr="00D1540F" w:rsidR="00683923">
        <w:rPr>
          <w:rFonts w:eastAsiaTheme="minorEastAsia"/>
        </w:rPr>
        <w:t xml:space="preserve">, ODIHR observers </w:t>
      </w:r>
      <w:r w:rsidRPr="00D1540F">
        <w:rPr>
          <w:rFonts w:eastAsiaTheme="minorEastAsia"/>
        </w:rPr>
        <w:t>were denied access to the SEC</w:t>
      </w:r>
      <w:r w:rsidRPr="00D1540F" w:rsidR="00683923">
        <w:rPr>
          <w:rFonts w:eastAsiaTheme="minorEastAsia"/>
        </w:rPr>
        <w:t>'s operating room where tabulation of results was performed.</w:t>
      </w:r>
    </w:p>
    <w:p w:rsidRPr="00D1540F" w:rsidR="007D3BDC" w:rsidP="007D3BDC" w:rsidRDefault="007D3BDC" w14:paraId="48D71800" w14:textId="03480076">
      <w:pPr>
        <w:jc w:val="both"/>
        <w:rPr>
          <w:rFonts w:eastAsiaTheme="minorEastAsia"/>
          <w:i/>
        </w:rPr>
      </w:pPr>
      <w:r w:rsidRPr="00D1540F">
        <w:rPr>
          <w:rFonts w:eastAsiaTheme="minorEastAsia"/>
          <w:i/>
        </w:rPr>
        <w:t>Are sessions of the SEC open to the media?</w:t>
      </w:r>
    </w:p>
    <w:p w:rsidRPr="00D1540F" w:rsidR="007D3BDC" w:rsidP="007D3BDC" w:rsidRDefault="007D3BDC" w14:paraId="7EC08E9D" w14:textId="7FFC3778">
      <w:pPr>
        <w:jc w:val="both"/>
        <w:rPr>
          <w:rFonts w:eastAsiaTheme="minorEastAsia"/>
        </w:rPr>
      </w:pPr>
      <w:r w:rsidRPr="00D1540F">
        <w:rPr>
          <w:rFonts w:eastAsiaTheme="minorEastAsia"/>
        </w:rPr>
        <w:t xml:space="preserve">Fulfilment of this indicator </w:t>
      </w:r>
      <w:r w:rsidR="001F527E">
        <w:rPr>
          <w:rFonts w:eastAsiaTheme="minorEastAsia"/>
        </w:rPr>
        <w:t>was estimated at</w:t>
      </w:r>
      <w:r w:rsidRPr="00D1540F">
        <w:rPr>
          <w:rFonts w:eastAsiaTheme="minorEastAsia"/>
        </w:rPr>
        <w:t xml:space="preserve"> 0.25</w:t>
      </w:r>
      <w:r w:rsidR="00C33444">
        <w:rPr>
          <w:rFonts w:eastAsiaTheme="minorEastAsia"/>
        </w:rPr>
        <w:t>, because</w:t>
      </w:r>
      <w:r w:rsidRPr="00D1540F">
        <w:rPr>
          <w:rFonts w:eastAsiaTheme="minorEastAsia"/>
        </w:rPr>
        <w:t xml:space="preserve"> sessions of the SEC are not open to the media. </w:t>
      </w:r>
      <w:r w:rsidRPr="00D1540F" w:rsidR="00EC2B2F">
        <w:rPr>
          <w:rFonts w:eastAsiaTheme="minorEastAsia"/>
        </w:rPr>
        <w:t>However</w:t>
      </w:r>
      <w:r w:rsidRPr="00D1540F">
        <w:rPr>
          <w:rFonts w:eastAsiaTheme="minorEastAsia"/>
        </w:rPr>
        <w:t>, th</w:t>
      </w:r>
      <w:r w:rsidR="00C33444">
        <w:rPr>
          <w:rFonts w:eastAsiaTheme="minorEastAsia"/>
        </w:rPr>
        <w:t>is rating</w:t>
      </w:r>
      <w:r w:rsidRPr="00D1540F">
        <w:rPr>
          <w:rFonts w:eastAsiaTheme="minorEastAsia"/>
        </w:rPr>
        <w:t xml:space="preserve"> </w:t>
      </w:r>
      <w:r w:rsidR="00C33444">
        <w:rPr>
          <w:rFonts w:eastAsiaTheme="minorEastAsia"/>
        </w:rPr>
        <w:t>wa</w:t>
      </w:r>
      <w:r w:rsidRPr="00D1540F" w:rsidR="00B7359A">
        <w:rPr>
          <w:rFonts w:eastAsiaTheme="minorEastAsia"/>
        </w:rPr>
        <w:t xml:space="preserve">s given </w:t>
      </w:r>
      <w:r w:rsidRPr="00D1540F">
        <w:rPr>
          <w:rFonts w:eastAsiaTheme="minorEastAsia"/>
        </w:rPr>
        <w:t>because the SEC appointed a spokesperson</w:t>
      </w:r>
      <w:r w:rsidR="00C33444">
        <w:rPr>
          <w:rFonts w:eastAsiaTheme="minorEastAsia"/>
        </w:rPr>
        <w:t xml:space="preserve"> during th</w:t>
      </w:r>
      <w:r w:rsidR="0001725D">
        <w:rPr>
          <w:rFonts w:eastAsiaTheme="minorEastAsia"/>
        </w:rPr>
        <w:t>e last</w:t>
      </w:r>
      <w:r w:rsidR="00C33444">
        <w:rPr>
          <w:rFonts w:eastAsiaTheme="minorEastAsia"/>
        </w:rPr>
        <w:t xml:space="preserve"> election cycle</w:t>
      </w:r>
      <w:r w:rsidRPr="00D1540F">
        <w:rPr>
          <w:rFonts w:eastAsiaTheme="minorEastAsia"/>
        </w:rPr>
        <w:t xml:space="preserve"> </w:t>
      </w:r>
      <w:r w:rsidRPr="00D1540F" w:rsidR="0001725D">
        <w:rPr>
          <w:rFonts w:eastAsiaTheme="minorEastAsia"/>
        </w:rPr>
        <w:t>that</w:t>
      </w:r>
      <w:r w:rsidRPr="00D1540F">
        <w:rPr>
          <w:rFonts w:eastAsiaTheme="minorEastAsia"/>
        </w:rPr>
        <w:t>, although limited in scope, provided some information to the media.</w:t>
      </w:r>
    </w:p>
    <w:p w:rsidRPr="00D1540F" w:rsidR="00683923" w:rsidP="00683923" w:rsidRDefault="00834F35" w14:paraId="1642186F" w14:textId="79FE624F">
      <w:pPr>
        <w:jc w:val="both"/>
        <w:rPr>
          <w:rFonts w:eastAsiaTheme="minorEastAsia"/>
        </w:rPr>
      </w:pPr>
      <w:r w:rsidRPr="00D1540F">
        <w:rPr>
          <w:rFonts w:eastAsiaTheme="minorEastAsia"/>
        </w:rPr>
        <w:t>After the OSCE/</w:t>
      </w:r>
      <w:r w:rsidRPr="00D1540F" w:rsidR="00683923">
        <w:rPr>
          <w:rFonts w:eastAsiaTheme="minorEastAsia"/>
        </w:rPr>
        <w:t xml:space="preserve">ODIHR report </w:t>
      </w:r>
      <w:r w:rsidRPr="00D1540F">
        <w:rPr>
          <w:rFonts w:eastAsiaTheme="minorEastAsia"/>
        </w:rPr>
        <w:t>on</w:t>
      </w:r>
      <w:r w:rsidRPr="00D1540F" w:rsidR="00683923">
        <w:rPr>
          <w:rFonts w:eastAsiaTheme="minorEastAsia"/>
        </w:rPr>
        <w:t xml:space="preserve"> the 2016 election</w:t>
      </w:r>
      <w:r w:rsidR="0001725D">
        <w:rPr>
          <w:rFonts w:eastAsiaTheme="minorEastAsia"/>
        </w:rPr>
        <w:t>s</w:t>
      </w:r>
      <w:r w:rsidRPr="00D1540F" w:rsidR="00683923">
        <w:rPr>
          <w:rFonts w:eastAsiaTheme="minorEastAsia"/>
        </w:rPr>
        <w:t xml:space="preserve"> pointed to this problem</w:t>
      </w:r>
      <w:r w:rsidRPr="00D1540F">
        <w:rPr>
          <w:rStyle w:val="FootnoteReference"/>
          <w:rFonts w:eastAsiaTheme="minorEastAsia"/>
        </w:rPr>
        <w:footnoteReference w:id="12"/>
      </w:r>
      <w:r w:rsidRPr="00D1540F">
        <w:rPr>
          <w:rFonts w:eastAsiaTheme="minorEastAsia"/>
        </w:rPr>
        <w:t>, in the 2018 elections the SEC</w:t>
      </w:r>
      <w:r w:rsidRPr="00D1540F" w:rsidR="00683923">
        <w:rPr>
          <w:rFonts w:eastAsiaTheme="minorEastAsia"/>
        </w:rPr>
        <w:t xml:space="preserve"> </w:t>
      </w:r>
      <w:r w:rsidRPr="00D1540F">
        <w:rPr>
          <w:rFonts w:eastAsiaTheme="minorEastAsia"/>
        </w:rPr>
        <w:t>did not take an explicit stand</w:t>
      </w:r>
      <w:r w:rsidRPr="00D1540F" w:rsidR="00683923">
        <w:rPr>
          <w:rFonts w:eastAsiaTheme="minorEastAsia"/>
        </w:rPr>
        <w:t xml:space="preserve"> that the media were not welcome, as in the previous </w:t>
      </w:r>
      <w:r w:rsidR="0001725D">
        <w:rPr>
          <w:rFonts w:eastAsiaTheme="minorEastAsia"/>
        </w:rPr>
        <w:t xml:space="preserve">election </w:t>
      </w:r>
      <w:r w:rsidRPr="00D1540F" w:rsidR="00683923">
        <w:rPr>
          <w:rFonts w:eastAsiaTheme="minorEastAsia"/>
        </w:rPr>
        <w:t xml:space="preserve">cycle, but </w:t>
      </w:r>
      <w:r w:rsidRPr="00D1540F">
        <w:rPr>
          <w:rFonts w:eastAsiaTheme="minorEastAsia"/>
        </w:rPr>
        <w:t xml:space="preserve">it </w:t>
      </w:r>
      <w:r w:rsidRPr="00D1540F" w:rsidR="00F32446">
        <w:rPr>
          <w:rFonts w:eastAsiaTheme="minorEastAsia"/>
        </w:rPr>
        <w:t>offered</w:t>
      </w:r>
      <w:r w:rsidRPr="00D1540F">
        <w:rPr>
          <w:rFonts w:eastAsiaTheme="minorEastAsia"/>
        </w:rPr>
        <w:t xml:space="preserve"> e</w:t>
      </w:r>
      <w:r w:rsidRPr="00D1540F" w:rsidR="00683923">
        <w:rPr>
          <w:rFonts w:eastAsiaTheme="minorEastAsia"/>
        </w:rPr>
        <w:t>xc</w:t>
      </w:r>
      <w:r w:rsidRPr="00D1540F">
        <w:rPr>
          <w:rFonts w:eastAsiaTheme="minorEastAsia"/>
        </w:rPr>
        <w:t>uses</w:t>
      </w:r>
      <w:r w:rsidRPr="00D1540F" w:rsidR="00683923">
        <w:rPr>
          <w:rFonts w:eastAsiaTheme="minorEastAsia"/>
        </w:rPr>
        <w:t xml:space="preserve"> on limited space capacities. However, </w:t>
      </w:r>
      <w:r w:rsidRPr="00D1540F">
        <w:rPr>
          <w:rFonts w:eastAsiaTheme="minorEastAsia"/>
        </w:rPr>
        <w:t>the SEC</w:t>
      </w:r>
      <w:r w:rsidRPr="00D1540F" w:rsidR="00683923">
        <w:rPr>
          <w:rFonts w:eastAsiaTheme="minorEastAsia"/>
        </w:rPr>
        <w:t xml:space="preserve"> did not notify the media about the sessions, and </w:t>
      </w:r>
      <w:r w:rsidRPr="00D1540F" w:rsidR="00B7359A">
        <w:rPr>
          <w:rFonts w:eastAsiaTheme="minorEastAsia"/>
        </w:rPr>
        <w:t>calls</w:t>
      </w:r>
      <w:r w:rsidRPr="00D1540F" w:rsidR="00683923">
        <w:rPr>
          <w:rFonts w:eastAsiaTheme="minorEastAsia"/>
        </w:rPr>
        <w:t xml:space="preserve"> for the sessions were </w:t>
      </w:r>
      <w:r w:rsidRPr="00D1540F" w:rsidR="00B7359A">
        <w:rPr>
          <w:rFonts w:eastAsiaTheme="minorEastAsia"/>
        </w:rPr>
        <w:t>announced</w:t>
      </w:r>
      <w:r w:rsidRPr="00D1540F" w:rsidR="00683923">
        <w:rPr>
          <w:rFonts w:eastAsiaTheme="minorEastAsia"/>
        </w:rPr>
        <w:t xml:space="preserve"> either immediately before the session or after the sessions themselves. </w:t>
      </w:r>
      <w:r w:rsidRPr="00D1540F">
        <w:rPr>
          <w:rFonts w:eastAsiaTheme="minorEastAsia"/>
        </w:rPr>
        <w:t>The</w:t>
      </w:r>
      <w:r w:rsidRPr="00D1540F" w:rsidR="00B7359A">
        <w:rPr>
          <w:rFonts w:eastAsiaTheme="minorEastAsia"/>
        </w:rPr>
        <w:t>refore, the</w:t>
      </w:r>
      <w:r w:rsidRPr="00D1540F">
        <w:rPr>
          <w:rFonts w:eastAsiaTheme="minorEastAsia"/>
        </w:rPr>
        <w:t xml:space="preserve"> media could not even know when the SEC sessions </w:t>
      </w:r>
      <w:r w:rsidR="0001725D">
        <w:rPr>
          <w:rFonts w:eastAsiaTheme="minorEastAsia"/>
        </w:rPr>
        <w:t>are taking place</w:t>
      </w:r>
      <w:r w:rsidRPr="00D1540F">
        <w:rPr>
          <w:rFonts w:eastAsiaTheme="minorEastAsia"/>
        </w:rPr>
        <w:t>, what they we</w:t>
      </w:r>
      <w:r w:rsidRPr="00D1540F" w:rsidR="00683923">
        <w:rPr>
          <w:rFonts w:eastAsiaTheme="minorEastAsia"/>
        </w:rPr>
        <w:t xml:space="preserve">re discussing </w:t>
      </w:r>
      <w:r w:rsidRPr="00D1540F" w:rsidR="00B7359A">
        <w:rPr>
          <w:rFonts w:eastAsiaTheme="minorEastAsia"/>
        </w:rPr>
        <w:t xml:space="preserve">about </w:t>
      </w:r>
      <w:r w:rsidRPr="00D1540F" w:rsidR="00683923">
        <w:rPr>
          <w:rFonts w:eastAsiaTheme="minorEastAsia"/>
        </w:rPr>
        <w:t xml:space="preserve">and deciding </w:t>
      </w:r>
      <w:r w:rsidRPr="00D1540F" w:rsidR="00F32446">
        <w:rPr>
          <w:rFonts w:eastAsiaTheme="minorEastAsia"/>
        </w:rPr>
        <w:t>on</w:t>
      </w:r>
      <w:r w:rsidRPr="00D1540F" w:rsidR="00683923">
        <w:rPr>
          <w:rFonts w:eastAsiaTheme="minorEastAsia"/>
        </w:rPr>
        <w:t xml:space="preserve"> and </w:t>
      </w:r>
      <w:r w:rsidRPr="00D1540F" w:rsidR="00B7359A">
        <w:rPr>
          <w:rFonts w:eastAsiaTheme="minorEastAsia"/>
        </w:rPr>
        <w:t>there was no way for them</w:t>
      </w:r>
      <w:r w:rsidRPr="00D1540F" w:rsidR="00683923">
        <w:rPr>
          <w:rFonts w:eastAsiaTheme="minorEastAsia"/>
        </w:rPr>
        <w:t xml:space="preserve"> to </w:t>
      </w:r>
      <w:r w:rsidRPr="00D1540F">
        <w:rPr>
          <w:rFonts w:eastAsiaTheme="minorEastAsia"/>
        </w:rPr>
        <w:t>cover</w:t>
      </w:r>
      <w:r w:rsidRPr="00D1540F" w:rsidR="00B7359A">
        <w:rPr>
          <w:rFonts w:eastAsiaTheme="minorEastAsia"/>
        </w:rPr>
        <w:t xml:space="preserve"> and attend those sessions</w:t>
      </w:r>
      <w:r w:rsidRPr="00D1540F" w:rsidR="00683923">
        <w:rPr>
          <w:rFonts w:eastAsiaTheme="minorEastAsia"/>
        </w:rPr>
        <w:t>.</w:t>
      </w:r>
    </w:p>
    <w:p w:rsidRPr="00D1540F" w:rsidR="00834F35" w:rsidP="00834F35" w:rsidRDefault="00834F35" w14:paraId="7C6871B2" w14:textId="4B86A1D7">
      <w:pPr>
        <w:jc w:val="both"/>
        <w:rPr>
          <w:rFonts w:eastAsiaTheme="minorEastAsia"/>
          <w:i/>
        </w:rPr>
      </w:pPr>
      <w:r w:rsidRPr="00D1540F">
        <w:rPr>
          <w:rFonts w:eastAsiaTheme="minorEastAsia"/>
          <w:i/>
        </w:rPr>
        <w:t>Are the decisions and other materials from the SEC sessions published on the website? Are the reports / information on activities of the SEC available on the website?</w:t>
      </w:r>
    </w:p>
    <w:p w:rsidRPr="00D1540F" w:rsidR="00834F35" w:rsidP="00834F35" w:rsidRDefault="00834F35" w14:paraId="4DDEA449" w14:textId="05CF6BEC">
      <w:pPr>
        <w:jc w:val="both"/>
        <w:rPr>
          <w:rFonts w:eastAsiaTheme="minorEastAsia"/>
        </w:rPr>
      </w:pPr>
      <w:r w:rsidRPr="00D1540F">
        <w:rPr>
          <w:rFonts w:eastAsiaTheme="minorEastAsia"/>
        </w:rPr>
        <w:t xml:space="preserve">Fulfilment of these two indicators </w:t>
      </w:r>
      <w:r w:rsidR="001F527E">
        <w:rPr>
          <w:rFonts w:eastAsiaTheme="minorEastAsia"/>
        </w:rPr>
        <w:t>was estimated at</w:t>
      </w:r>
      <w:r w:rsidRPr="00D1540F">
        <w:rPr>
          <w:rFonts w:eastAsiaTheme="minorEastAsia"/>
        </w:rPr>
        <w:t xml:space="preserve"> 0.25, as only a small amount of materials and information on activities of the SEC are available on the website.</w:t>
      </w:r>
    </w:p>
    <w:p w:rsidRPr="00D1540F" w:rsidR="00683923" w:rsidP="00683923" w:rsidRDefault="00683923" w14:paraId="0BAB7C8B" w14:textId="1CDD89DB">
      <w:pPr>
        <w:jc w:val="both"/>
        <w:rPr>
          <w:rFonts w:eastAsiaTheme="minorEastAsia"/>
        </w:rPr>
      </w:pPr>
      <w:r w:rsidRPr="00D1540F">
        <w:rPr>
          <w:rFonts w:eastAsiaTheme="minorEastAsia"/>
        </w:rPr>
        <w:t>Although the situation was improved during the 2018 election</w:t>
      </w:r>
      <w:r w:rsidR="0001725D">
        <w:rPr>
          <w:rFonts w:eastAsiaTheme="minorEastAsia"/>
        </w:rPr>
        <w:t>s</w:t>
      </w:r>
      <w:r w:rsidRPr="00D1540F">
        <w:rPr>
          <w:rFonts w:eastAsiaTheme="minorEastAsia"/>
        </w:rPr>
        <w:t xml:space="preserve">, the </w:t>
      </w:r>
      <w:r w:rsidRPr="00D1540F" w:rsidR="00834F35">
        <w:rPr>
          <w:rFonts w:eastAsiaTheme="minorEastAsia"/>
        </w:rPr>
        <w:t>SEC</w:t>
      </w:r>
      <w:r w:rsidRPr="00D1540F">
        <w:rPr>
          <w:rFonts w:eastAsiaTheme="minorEastAsia"/>
        </w:rPr>
        <w:t xml:space="preserve"> still does not publish systematic</w:t>
      </w:r>
      <w:r w:rsidR="0001725D">
        <w:rPr>
          <w:rFonts w:eastAsiaTheme="minorEastAsia"/>
        </w:rPr>
        <w:t>ally, timely and</w:t>
      </w:r>
      <w:r w:rsidRPr="00D1540F" w:rsidR="00834F35">
        <w:rPr>
          <w:rFonts w:eastAsiaTheme="minorEastAsia"/>
        </w:rPr>
        <w:t xml:space="preserve"> full</w:t>
      </w:r>
      <w:r w:rsidRPr="00D1540F">
        <w:rPr>
          <w:rFonts w:eastAsiaTheme="minorEastAsia"/>
        </w:rPr>
        <w:t xml:space="preserve"> decisions and other material from sessions on the website. The largest number of documents pertaining to the 2018 election</w:t>
      </w:r>
      <w:r w:rsidR="0001725D">
        <w:rPr>
          <w:rFonts w:eastAsiaTheme="minorEastAsia"/>
        </w:rPr>
        <w:t>s</w:t>
      </w:r>
      <w:r w:rsidRPr="00D1540F">
        <w:rPr>
          <w:rFonts w:eastAsiaTheme="minorEastAsia"/>
        </w:rPr>
        <w:t xml:space="preserve"> was published afterwards, following the elections, not </w:t>
      </w:r>
      <w:r w:rsidR="0001725D">
        <w:rPr>
          <w:rFonts w:eastAsiaTheme="minorEastAsia"/>
        </w:rPr>
        <w:t>when</w:t>
      </w:r>
      <w:r w:rsidRPr="00D1540F">
        <w:rPr>
          <w:rFonts w:eastAsiaTheme="minorEastAsia"/>
        </w:rPr>
        <w:t xml:space="preserve"> the decisions were made and when they were relevant to the public. The decisions on </w:t>
      </w:r>
      <w:r w:rsidRPr="00D1540F" w:rsidR="00834F35">
        <w:rPr>
          <w:rFonts w:eastAsiaTheme="minorEastAsia"/>
        </w:rPr>
        <w:t>complaints</w:t>
      </w:r>
      <w:r w:rsidRPr="00D1540F">
        <w:rPr>
          <w:rFonts w:eastAsiaTheme="minorEastAsia"/>
        </w:rPr>
        <w:t xml:space="preserve"> were not disclosed, </w:t>
      </w:r>
      <w:r w:rsidRPr="00D1540F" w:rsidR="00834F35">
        <w:rPr>
          <w:rFonts w:eastAsiaTheme="minorEastAsia"/>
        </w:rPr>
        <w:t>nor</w:t>
      </w:r>
      <w:r w:rsidRPr="00D1540F">
        <w:rPr>
          <w:rFonts w:eastAsiaTheme="minorEastAsia"/>
        </w:rPr>
        <w:t xml:space="preserve"> the views and opinions of</w:t>
      </w:r>
      <w:r w:rsidRPr="00D1540F" w:rsidR="00834F35">
        <w:rPr>
          <w:rFonts w:eastAsiaTheme="minorEastAsia"/>
        </w:rPr>
        <w:t xml:space="preserve"> the SEC</w:t>
      </w:r>
      <w:r w:rsidRPr="00D1540F">
        <w:rPr>
          <w:rFonts w:eastAsiaTheme="minorEastAsia"/>
        </w:rPr>
        <w:t>.</w:t>
      </w:r>
    </w:p>
    <w:p w:rsidRPr="00D1540F" w:rsidR="00683923" w:rsidP="00683923" w:rsidRDefault="00683923" w14:paraId="4CD59B8A" w14:textId="193941A0">
      <w:pPr>
        <w:jc w:val="both"/>
        <w:rPr>
          <w:rFonts w:eastAsiaTheme="minorEastAsia"/>
        </w:rPr>
      </w:pPr>
      <w:r w:rsidRPr="00D1540F">
        <w:rPr>
          <w:rFonts w:eastAsiaTheme="minorEastAsia"/>
        </w:rPr>
        <w:lastRenderedPageBreak/>
        <w:t xml:space="preserve">In the last election cycle, </w:t>
      </w:r>
      <w:r w:rsidRPr="00D1540F" w:rsidR="00834F35">
        <w:rPr>
          <w:rFonts w:eastAsiaTheme="minorEastAsia"/>
        </w:rPr>
        <w:t>the SEC</w:t>
      </w:r>
      <w:r w:rsidRPr="00D1540F">
        <w:rPr>
          <w:rFonts w:eastAsiaTheme="minorEastAsia"/>
        </w:rPr>
        <w:t xml:space="preserve"> has also improved</w:t>
      </w:r>
      <w:r w:rsidRPr="00D1540F" w:rsidR="00B7359A">
        <w:rPr>
          <w:rFonts w:eastAsiaTheme="minorEastAsia"/>
        </w:rPr>
        <w:t xml:space="preserve"> the manner of</w:t>
      </w:r>
      <w:r w:rsidRPr="00D1540F">
        <w:rPr>
          <w:rFonts w:eastAsiaTheme="minorEastAsia"/>
        </w:rPr>
        <w:t xml:space="preserve"> </w:t>
      </w:r>
      <w:r w:rsidRPr="00D1540F" w:rsidR="00834F35">
        <w:rPr>
          <w:rFonts w:eastAsiaTheme="minorEastAsia"/>
        </w:rPr>
        <w:t xml:space="preserve">informing the public </w:t>
      </w:r>
      <w:r w:rsidRPr="00D1540F">
        <w:rPr>
          <w:rFonts w:eastAsiaTheme="minorEastAsia"/>
        </w:rPr>
        <w:t xml:space="preserve">of its activities through the website, especially during the </w:t>
      </w:r>
      <w:r w:rsidR="0001725D">
        <w:rPr>
          <w:rFonts w:eastAsiaTheme="minorEastAsia"/>
        </w:rPr>
        <w:t>election d</w:t>
      </w:r>
      <w:r w:rsidRPr="00D1540F" w:rsidR="00F32446">
        <w:rPr>
          <w:rFonts w:eastAsiaTheme="minorEastAsia"/>
        </w:rPr>
        <w:t>ay</w:t>
      </w:r>
      <w:r w:rsidRPr="00D1540F">
        <w:rPr>
          <w:rFonts w:eastAsiaTheme="minorEastAsia"/>
        </w:rPr>
        <w:t>. However</w:t>
      </w:r>
      <w:r w:rsidRPr="00B46AA5">
        <w:rPr>
          <w:rFonts w:eastAsiaTheme="minorEastAsia"/>
        </w:rPr>
        <w:t xml:space="preserve">, during the election campaign, </w:t>
      </w:r>
      <w:r w:rsidRPr="00B46AA5" w:rsidR="00B46AA5">
        <w:rPr>
          <w:rFonts w:eastAsiaTheme="minorEastAsia"/>
        </w:rPr>
        <w:t>a lot of information</w:t>
      </w:r>
      <w:r w:rsidRPr="00B46AA5" w:rsidR="00834F35">
        <w:rPr>
          <w:rFonts w:eastAsiaTheme="minorEastAsia"/>
        </w:rPr>
        <w:t xml:space="preserve"> on</w:t>
      </w:r>
      <w:r w:rsidRPr="00B46AA5">
        <w:rPr>
          <w:rFonts w:eastAsiaTheme="minorEastAsia"/>
        </w:rPr>
        <w:t xml:space="preserve"> meetings, trainings and other important activities</w:t>
      </w:r>
      <w:r w:rsidRPr="00B46AA5" w:rsidR="00834F35">
        <w:rPr>
          <w:rFonts w:eastAsiaTheme="minorEastAsia"/>
        </w:rPr>
        <w:t xml:space="preserve"> of the </w:t>
      </w:r>
      <w:r w:rsidRPr="005425FB" w:rsidR="007A54EC">
        <w:rPr>
          <w:rFonts w:eastAsiaTheme="minorEastAsia"/>
        </w:rPr>
        <w:t>SEC</w:t>
      </w:r>
      <w:r w:rsidRPr="005425FB" w:rsidR="00834F35">
        <w:rPr>
          <w:rFonts w:eastAsiaTheme="minorEastAsia"/>
        </w:rPr>
        <w:t xml:space="preserve"> </w:t>
      </w:r>
      <w:r w:rsidRPr="005425FB" w:rsidR="005425FB">
        <w:rPr>
          <w:rFonts w:eastAsiaTheme="minorEastAsia"/>
        </w:rPr>
        <w:t>was</w:t>
      </w:r>
      <w:r w:rsidRPr="005425FB" w:rsidR="00834F35">
        <w:rPr>
          <w:rFonts w:eastAsiaTheme="minorEastAsia"/>
        </w:rPr>
        <w:t xml:space="preserve"> </w:t>
      </w:r>
      <w:r w:rsidRPr="005425FB" w:rsidR="00A77E38">
        <w:rPr>
          <w:rFonts w:eastAsiaTheme="minorEastAsia"/>
        </w:rPr>
        <w:t>missing</w:t>
      </w:r>
      <w:r w:rsidRPr="005425FB">
        <w:rPr>
          <w:rFonts w:eastAsiaTheme="minorEastAsia"/>
        </w:rPr>
        <w:t>.</w:t>
      </w:r>
      <w:r w:rsidRPr="00D1540F">
        <w:rPr>
          <w:rFonts w:eastAsiaTheme="minorEastAsia"/>
        </w:rPr>
        <w:t xml:space="preserve"> </w:t>
      </w:r>
      <w:r w:rsidRPr="00D1540F" w:rsidR="00834F35">
        <w:rPr>
          <w:rFonts w:eastAsiaTheme="minorEastAsia"/>
        </w:rPr>
        <w:t>Furthermore</w:t>
      </w:r>
      <w:r w:rsidRPr="00D1540F">
        <w:rPr>
          <w:rFonts w:eastAsiaTheme="minorEastAsia"/>
        </w:rPr>
        <w:t xml:space="preserve">, during a period not covered by the election campaign, </w:t>
      </w:r>
      <w:r w:rsidRPr="00D1540F" w:rsidR="00834F35">
        <w:rPr>
          <w:rFonts w:eastAsiaTheme="minorEastAsia"/>
        </w:rPr>
        <w:t>the SEC</w:t>
      </w:r>
      <w:r w:rsidRPr="00D1540F">
        <w:rPr>
          <w:rFonts w:eastAsiaTheme="minorEastAsia"/>
        </w:rPr>
        <w:t xml:space="preserve"> </w:t>
      </w:r>
      <w:r w:rsidRPr="00D1540F" w:rsidR="00B7359A">
        <w:rPr>
          <w:rFonts w:eastAsiaTheme="minorEastAsia"/>
        </w:rPr>
        <w:t>provide</w:t>
      </w:r>
      <w:r w:rsidR="00A77E38">
        <w:rPr>
          <w:rFonts w:eastAsiaTheme="minorEastAsia"/>
        </w:rPr>
        <w:t>s</w:t>
      </w:r>
      <w:r w:rsidRPr="00D1540F" w:rsidR="00B7359A">
        <w:rPr>
          <w:rFonts w:eastAsiaTheme="minorEastAsia"/>
        </w:rPr>
        <w:t xml:space="preserve"> </w:t>
      </w:r>
      <w:r w:rsidRPr="00D1540F">
        <w:rPr>
          <w:rFonts w:eastAsiaTheme="minorEastAsia"/>
        </w:rPr>
        <w:t xml:space="preserve">almost </w:t>
      </w:r>
      <w:r w:rsidRPr="00D1540F" w:rsidR="00B7359A">
        <w:rPr>
          <w:rFonts w:eastAsiaTheme="minorEastAsia"/>
        </w:rPr>
        <w:t>no</w:t>
      </w:r>
      <w:r w:rsidRPr="00D1540F">
        <w:rPr>
          <w:rFonts w:eastAsiaTheme="minorEastAsia"/>
        </w:rPr>
        <w:t xml:space="preserve"> inform</w:t>
      </w:r>
      <w:r w:rsidRPr="00D1540F" w:rsidR="00B7359A">
        <w:rPr>
          <w:rFonts w:eastAsiaTheme="minorEastAsia"/>
        </w:rPr>
        <w:t xml:space="preserve">ation </w:t>
      </w:r>
      <w:r w:rsidR="007A54EC">
        <w:rPr>
          <w:rFonts w:eastAsiaTheme="minorEastAsia"/>
        </w:rPr>
        <w:t xml:space="preserve">to </w:t>
      </w:r>
      <w:r w:rsidRPr="00D1540F" w:rsidR="00B7359A">
        <w:rPr>
          <w:rFonts w:eastAsiaTheme="minorEastAsia"/>
        </w:rPr>
        <w:t>the public on</w:t>
      </w:r>
      <w:r w:rsidRPr="00D1540F">
        <w:rPr>
          <w:rFonts w:eastAsiaTheme="minorEastAsia"/>
        </w:rPr>
        <w:t xml:space="preserve"> its work.</w:t>
      </w:r>
    </w:p>
    <w:p w:rsidRPr="00D1540F" w:rsidR="00683923" w:rsidP="00683923" w:rsidRDefault="00683923" w14:paraId="3CB6732E" w14:textId="62251B31">
      <w:pPr>
        <w:jc w:val="both"/>
        <w:rPr>
          <w:rFonts w:eastAsiaTheme="minorEastAsia"/>
        </w:rPr>
      </w:pPr>
      <w:r w:rsidRPr="00D1540F">
        <w:rPr>
          <w:rFonts w:eastAsiaTheme="minorEastAsia"/>
        </w:rPr>
        <w:t xml:space="preserve">The </w:t>
      </w:r>
      <w:r w:rsidRPr="00D1540F" w:rsidR="00834F35">
        <w:rPr>
          <w:rFonts w:eastAsiaTheme="minorEastAsia"/>
        </w:rPr>
        <w:t>SEC</w:t>
      </w:r>
      <w:r w:rsidRPr="00D1540F">
        <w:rPr>
          <w:rFonts w:eastAsiaTheme="minorEastAsia"/>
        </w:rPr>
        <w:t xml:space="preserve"> does not </w:t>
      </w:r>
      <w:r w:rsidRPr="00D1540F" w:rsidR="00834F35">
        <w:rPr>
          <w:rFonts w:eastAsiaTheme="minorEastAsia"/>
        </w:rPr>
        <w:t xml:space="preserve">prepare </w:t>
      </w:r>
      <w:r w:rsidRPr="00D1540F">
        <w:rPr>
          <w:rFonts w:eastAsiaTheme="minorEastAsia"/>
        </w:rPr>
        <w:t>report</w:t>
      </w:r>
      <w:r w:rsidRPr="00D1540F" w:rsidR="00834F35">
        <w:rPr>
          <w:rFonts w:eastAsiaTheme="minorEastAsia"/>
        </w:rPr>
        <w:t>s</w:t>
      </w:r>
      <w:r w:rsidRPr="00D1540F">
        <w:rPr>
          <w:rFonts w:eastAsiaTheme="minorEastAsia"/>
        </w:rPr>
        <w:t xml:space="preserve"> on its work during the elections, </w:t>
      </w:r>
      <w:r w:rsidRPr="00D1540F" w:rsidR="00A77E38">
        <w:rPr>
          <w:rFonts w:eastAsiaTheme="minorEastAsia"/>
        </w:rPr>
        <w:t>or</w:t>
      </w:r>
      <w:r w:rsidRPr="00D1540F">
        <w:rPr>
          <w:rFonts w:eastAsiaTheme="minorEastAsia"/>
        </w:rPr>
        <w:t xml:space="preserve"> at the annual level, </w:t>
      </w:r>
      <w:r w:rsidR="00A77E38">
        <w:rPr>
          <w:rFonts w:eastAsiaTheme="minorEastAsia"/>
        </w:rPr>
        <w:t>and therefore</w:t>
      </w:r>
      <w:r w:rsidRPr="00D1540F">
        <w:rPr>
          <w:rFonts w:eastAsiaTheme="minorEastAsia"/>
        </w:rPr>
        <w:t xml:space="preserve"> the public is completely denied comprehensive information on the work and results of this institution.</w:t>
      </w:r>
    </w:p>
    <w:p w:rsidRPr="00D1540F" w:rsidR="0002129A" w:rsidP="009E205A" w:rsidRDefault="009E205A" w14:paraId="56BBCC94" w14:textId="01DBE9C5">
      <w:pPr>
        <w:jc w:val="both"/>
        <w:rPr>
          <w:rFonts w:ascii="Calibri" w:hAnsi="Calibri" w:eastAsia="Calibri" w:cs="Calibri"/>
          <w:b/>
          <w:bCs/>
          <w:sz w:val="26"/>
          <w:szCs w:val="26"/>
        </w:rPr>
      </w:pPr>
      <w:r w:rsidRPr="00D1540F">
        <w:rPr>
          <w:rFonts w:ascii="Calibri" w:hAnsi="Calibri" w:eastAsia="Calibri" w:cs="Calibri"/>
          <w:b/>
          <w:bCs/>
          <w:sz w:val="26"/>
          <w:szCs w:val="26"/>
        </w:rPr>
        <w:t>R</w:t>
      </w:r>
      <w:r w:rsidR="007A54EC">
        <w:rPr>
          <w:rFonts w:ascii="Calibri" w:hAnsi="Calibri" w:eastAsia="Calibri" w:cs="Calibri"/>
          <w:b/>
          <w:bCs/>
          <w:sz w:val="26"/>
          <w:szCs w:val="26"/>
        </w:rPr>
        <w:t>oad</w:t>
      </w:r>
      <w:r w:rsidRPr="00D1540F" w:rsidR="0002129A">
        <w:rPr>
          <w:rFonts w:ascii="Calibri" w:hAnsi="Calibri" w:eastAsia="Calibri" w:cs="Calibri"/>
          <w:b/>
          <w:bCs/>
          <w:sz w:val="26"/>
          <w:szCs w:val="26"/>
        </w:rPr>
        <w:t xml:space="preserve">map for the creation of independent </w:t>
      </w:r>
      <w:r w:rsidRPr="00D1540F">
        <w:rPr>
          <w:rFonts w:ascii="Calibri" w:hAnsi="Calibri" w:eastAsia="Calibri" w:cs="Calibri"/>
          <w:b/>
          <w:bCs/>
          <w:sz w:val="26"/>
          <w:szCs w:val="26"/>
        </w:rPr>
        <w:t>institution</w:t>
      </w:r>
    </w:p>
    <w:p w:rsidRPr="00D1540F" w:rsidR="0002129A" w:rsidP="0002129A" w:rsidRDefault="0002129A" w14:paraId="1BD5350F" w14:textId="6D68BEE3">
      <w:pPr>
        <w:jc w:val="both"/>
        <w:rPr>
          <w:rFonts w:ascii="Calibri" w:hAnsi="Calibri" w:eastAsia="Calibri" w:cs="Calibri"/>
        </w:rPr>
      </w:pPr>
      <w:r w:rsidRPr="00D1540F">
        <w:rPr>
          <w:rFonts w:ascii="Calibri" w:hAnsi="Calibri" w:eastAsia="Calibri" w:cs="Calibri"/>
        </w:rPr>
        <w:t>In order to contribute to the quality of discussion on this topic, but also to initiate key political actors</w:t>
      </w:r>
      <w:r w:rsidRPr="00D1540F" w:rsidR="00EF7730">
        <w:rPr>
          <w:rFonts w:ascii="Calibri" w:hAnsi="Calibri" w:eastAsia="Calibri" w:cs="Calibri"/>
        </w:rPr>
        <w:t xml:space="preserve"> to action</w:t>
      </w:r>
      <w:r w:rsidR="00D72C45">
        <w:rPr>
          <w:rFonts w:ascii="Calibri" w:hAnsi="Calibri" w:eastAsia="Calibri" w:cs="Calibri"/>
        </w:rPr>
        <w:t>, we present a “roadmap”</w:t>
      </w:r>
      <w:r w:rsidRPr="00D1540F">
        <w:rPr>
          <w:rFonts w:ascii="Calibri" w:hAnsi="Calibri" w:eastAsia="Calibri" w:cs="Calibri"/>
        </w:rPr>
        <w:t xml:space="preserve"> for the creation of a new institution. It co</w:t>
      </w:r>
      <w:r w:rsidRPr="00D1540F" w:rsidR="00EF7730">
        <w:rPr>
          <w:rFonts w:ascii="Calibri" w:hAnsi="Calibri" w:eastAsia="Calibri" w:cs="Calibri"/>
        </w:rPr>
        <w:t xml:space="preserve">ntains a key time frame for </w:t>
      </w:r>
      <w:r w:rsidRPr="00D1540F">
        <w:rPr>
          <w:rFonts w:ascii="Calibri" w:hAnsi="Calibri" w:eastAsia="Calibri" w:cs="Calibri"/>
        </w:rPr>
        <w:t xml:space="preserve">adoption of the </w:t>
      </w:r>
      <w:r w:rsidRPr="00D1540F" w:rsidR="00EF7730">
        <w:rPr>
          <w:rFonts w:ascii="Calibri" w:hAnsi="Calibri" w:eastAsia="Calibri" w:cs="Calibri"/>
        </w:rPr>
        <w:t xml:space="preserve">Law on </w:t>
      </w:r>
      <w:r w:rsidRPr="00D1540F">
        <w:rPr>
          <w:rFonts w:ascii="Calibri" w:hAnsi="Calibri" w:eastAsia="Calibri" w:cs="Calibri"/>
        </w:rPr>
        <w:t>Elect</w:t>
      </w:r>
      <w:r w:rsidRPr="00D1540F" w:rsidR="00EF7730">
        <w:rPr>
          <w:rFonts w:ascii="Calibri" w:hAnsi="Calibri" w:eastAsia="Calibri" w:cs="Calibri"/>
        </w:rPr>
        <w:t>ion Administration</w:t>
      </w:r>
      <w:r w:rsidRPr="00D1540F">
        <w:rPr>
          <w:rFonts w:ascii="Calibri" w:hAnsi="Calibri" w:eastAsia="Calibri" w:cs="Calibri"/>
        </w:rPr>
        <w:t xml:space="preserve">, election of new </w:t>
      </w:r>
      <w:r w:rsidRPr="00D1540F" w:rsidR="00EF7730">
        <w:rPr>
          <w:rFonts w:ascii="Calibri" w:hAnsi="Calibri" w:eastAsia="Calibri" w:cs="Calibri"/>
        </w:rPr>
        <w:t xml:space="preserve">members of the Commission, the manner </w:t>
      </w:r>
      <w:r w:rsidRPr="00D1540F">
        <w:rPr>
          <w:rFonts w:ascii="Calibri" w:hAnsi="Calibri" w:eastAsia="Calibri" w:cs="Calibri"/>
        </w:rPr>
        <w:t>of planning the required resources and preparing the institution for the parliamentary elections in 2020.</w:t>
      </w:r>
    </w:p>
    <w:p w:rsidRPr="00D1540F" w:rsidR="00D9505C" w:rsidP="00683923" w:rsidRDefault="00683923" w14:paraId="1FA97119" w14:textId="63766D45">
      <w:pPr>
        <w:jc w:val="both"/>
        <w:rPr>
          <w:rFonts w:ascii="Calibri" w:hAnsi="Calibri" w:eastAsia="Calibri" w:cs="Calibri"/>
        </w:rPr>
      </w:pPr>
      <w:r w:rsidRPr="00D1540F">
        <w:rPr>
          <w:rFonts w:ascii="Calibri" w:hAnsi="Calibri" w:eastAsia="Calibri" w:cs="Calibri"/>
        </w:rPr>
        <w:t>Although</w:t>
      </w:r>
      <w:r w:rsidR="004F001E">
        <w:rPr>
          <w:rFonts w:ascii="Calibri" w:hAnsi="Calibri" w:eastAsia="Calibri" w:cs="Calibri"/>
        </w:rPr>
        <w:t>,</w:t>
      </w:r>
      <w:r w:rsidRPr="00D1540F">
        <w:rPr>
          <w:rFonts w:ascii="Calibri" w:hAnsi="Calibri" w:eastAsia="Calibri" w:cs="Calibri"/>
        </w:rPr>
        <w:t xml:space="preserve"> at first glance</w:t>
      </w:r>
      <w:r w:rsidR="004F001E">
        <w:rPr>
          <w:rFonts w:ascii="Calibri" w:hAnsi="Calibri" w:eastAsia="Calibri" w:cs="Calibri"/>
        </w:rPr>
        <w:t>,</w:t>
      </w:r>
      <w:r w:rsidRPr="00D1540F">
        <w:rPr>
          <w:rFonts w:ascii="Calibri" w:hAnsi="Calibri" w:eastAsia="Calibri" w:cs="Calibri"/>
        </w:rPr>
        <w:t xml:space="preserve"> it seems that </w:t>
      </w:r>
      <w:r w:rsidRPr="00D1540F" w:rsidR="00EF7730">
        <w:rPr>
          <w:rFonts w:ascii="Calibri" w:hAnsi="Calibri" w:eastAsia="Calibri" w:cs="Calibri"/>
        </w:rPr>
        <w:t xml:space="preserve">we have plenty of time </w:t>
      </w:r>
      <w:r w:rsidRPr="00D1540F">
        <w:rPr>
          <w:rFonts w:ascii="Calibri" w:hAnsi="Calibri" w:eastAsia="Calibri" w:cs="Calibri"/>
        </w:rPr>
        <w:t xml:space="preserve">until October </w:t>
      </w:r>
      <w:r w:rsidRPr="00D1540F" w:rsidR="004F001E">
        <w:rPr>
          <w:rFonts w:ascii="Calibri" w:hAnsi="Calibri" w:eastAsia="Calibri" w:cs="Calibri"/>
        </w:rPr>
        <w:t>2020 that</w:t>
      </w:r>
      <w:r w:rsidRPr="00D1540F" w:rsidR="00EF7730">
        <w:rPr>
          <w:rFonts w:ascii="Calibri" w:hAnsi="Calibri" w:eastAsia="Calibri" w:cs="Calibri"/>
        </w:rPr>
        <w:t xml:space="preserve"> i</w:t>
      </w:r>
      <w:r w:rsidRPr="00D1540F">
        <w:rPr>
          <w:rFonts w:ascii="Calibri" w:hAnsi="Calibri" w:eastAsia="Calibri" w:cs="Calibri"/>
        </w:rPr>
        <w:t>s not</w:t>
      </w:r>
      <w:r w:rsidRPr="00D1540F" w:rsidR="00EF7730">
        <w:rPr>
          <w:rFonts w:ascii="Calibri" w:hAnsi="Calibri" w:eastAsia="Calibri" w:cs="Calibri"/>
        </w:rPr>
        <w:t xml:space="preserve"> really</w:t>
      </w:r>
      <w:r w:rsidRPr="00D1540F">
        <w:rPr>
          <w:rFonts w:ascii="Calibri" w:hAnsi="Calibri" w:eastAsia="Calibri" w:cs="Calibri"/>
        </w:rPr>
        <w:t xml:space="preserve"> true. If we take into account the need to prepare a new law requiring a qualified majority (which is only part of the necessary changes), adopt new bylaws, announce competitions for new members, provide the necessary resources for work of the institution and </w:t>
      </w:r>
      <w:r w:rsidRPr="00D1540F" w:rsidR="00FD0CAC">
        <w:rPr>
          <w:rFonts w:ascii="Calibri" w:hAnsi="Calibri" w:eastAsia="Calibri" w:cs="Calibri"/>
        </w:rPr>
        <w:t>give her at least 12 months to prepare for the election process and tune-up</w:t>
      </w:r>
      <w:r w:rsidRPr="00D1540F">
        <w:rPr>
          <w:rFonts w:ascii="Calibri" w:hAnsi="Calibri" w:eastAsia="Calibri" w:cs="Calibri"/>
        </w:rPr>
        <w:t xml:space="preserve"> - it is clear that this process must be started immediately.</w:t>
      </w:r>
      <w:r w:rsidRPr="00D1540F" w:rsidR="0524E42C">
        <w:rPr>
          <w:rFonts w:ascii="Calibri" w:hAnsi="Calibri" w:eastAsia="Calibri" w:cs="Calibri"/>
        </w:rPr>
        <w:t xml:space="preserve">  </w:t>
      </w:r>
    </w:p>
    <w:p w:rsidRPr="00D1540F" w:rsidR="0002129A" w:rsidP="0002129A" w:rsidRDefault="0002129A" w14:paraId="58410054" w14:textId="3B348950">
      <w:pPr>
        <w:jc w:val="both"/>
        <w:rPr>
          <w:rFonts w:ascii="Calibri" w:hAnsi="Calibri" w:eastAsia="Calibri" w:cs="Calibri"/>
          <w:b/>
        </w:rPr>
      </w:pPr>
      <w:r w:rsidRPr="00D1540F">
        <w:rPr>
          <w:rFonts w:ascii="Calibri" w:hAnsi="Calibri" w:eastAsia="Calibri" w:cs="Calibri"/>
          <w:b/>
        </w:rPr>
        <w:t xml:space="preserve">Launch an urgent public dialogue on the </w:t>
      </w:r>
      <w:r w:rsidR="004F001E">
        <w:rPr>
          <w:rFonts w:ascii="Calibri" w:hAnsi="Calibri" w:eastAsia="Calibri" w:cs="Calibri"/>
          <w:b/>
        </w:rPr>
        <w:t>scope</w:t>
      </w:r>
      <w:r w:rsidRPr="00D1540F">
        <w:rPr>
          <w:rFonts w:ascii="Calibri" w:hAnsi="Calibri" w:eastAsia="Calibri" w:cs="Calibri"/>
          <w:b/>
        </w:rPr>
        <w:t xml:space="preserve"> of electoral administration and the need to improve the present situation through adoption of the </w:t>
      </w:r>
      <w:r w:rsidRPr="00D1540F" w:rsidR="00EF7730">
        <w:rPr>
          <w:rFonts w:ascii="Calibri" w:hAnsi="Calibri" w:eastAsia="Calibri" w:cs="Calibri"/>
          <w:b/>
        </w:rPr>
        <w:t xml:space="preserve">Law on </w:t>
      </w:r>
      <w:r w:rsidRPr="00D1540F">
        <w:rPr>
          <w:rFonts w:ascii="Calibri" w:hAnsi="Calibri" w:eastAsia="Calibri" w:cs="Calibri"/>
          <w:b/>
        </w:rPr>
        <w:t>Elect</w:t>
      </w:r>
      <w:r w:rsidRPr="00D1540F" w:rsidR="00EF7730">
        <w:rPr>
          <w:rFonts w:ascii="Calibri" w:hAnsi="Calibri" w:eastAsia="Calibri" w:cs="Calibri"/>
          <w:b/>
        </w:rPr>
        <w:t>ion</w:t>
      </w:r>
      <w:r w:rsidRPr="00D1540F">
        <w:rPr>
          <w:rFonts w:ascii="Calibri" w:hAnsi="Calibri" w:eastAsia="Calibri" w:cs="Calibri"/>
          <w:b/>
        </w:rPr>
        <w:t xml:space="preserve"> Administration </w:t>
      </w:r>
    </w:p>
    <w:p w:rsidRPr="00D1540F" w:rsidR="0002129A" w:rsidP="0002129A" w:rsidRDefault="0002129A" w14:paraId="18D6B022" w14:textId="111E603C">
      <w:pPr>
        <w:jc w:val="both"/>
        <w:rPr>
          <w:rFonts w:ascii="Calibri" w:hAnsi="Calibri" w:eastAsia="Calibri" w:cs="Calibri"/>
        </w:rPr>
      </w:pPr>
      <w:r w:rsidRPr="00D1540F">
        <w:rPr>
          <w:rFonts w:ascii="Calibri" w:hAnsi="Calibri" w:eastAsia="Calibri" w:cs="Calibri"/>
        </w:rPr>
        <w:t xml:space="preserve">CDT believes that </w:t>
      </w:r>
      <w:r w:rsidRPr="00D1540F" w:rsidR="00EF7730">
        <w:rPr>
          <w:rFonts w:ascii="Calibri" w:hAnsi="Calibri" w:eastAsia="Calibri" w:cs="Calibri"/>
        </w:rPr>
        <w:t>it is the ultimate moment for political</w:t>
      </w:r>
      <w:r w:rsidRPr="00D1540F">
        <w:rPr>
          <w:rFonts w:ascii="Calibri" w:hAnsi="Calibri" w:eastAsia="Calibri" w:cs="Calibri"/>
        </w:rPr>
        <w:t xml:space="preserve"> parties</w:t>
      </w:r>
      <w:r w:rsidRPr="00D1540F" w:rsidR="00EF7730">
        <w:rPr>
          <w:rFonts w:ascii="Calibri" w:hAnsi="Calibri" w:eastAsia="Calibri" w:cs="Calibri"/>
        </w:rPr>
        <w:t xml:space="preserve"> to put aside their political strategies</w:t>
      </w:r>
      <w:r w:rsidRPr="00D1540F">
        <w:rPr>
          <w:rFonts w:ascii="Calibri" w:hAnsi="Calibri" w:eastAsia="Calibri" w:cs="Calibri"/>
        </w:rPr>
        <w:t xml:space="preserve"> and tactics and finally turn to what is undoubtedly the interest of the Montenegrin society - creating a better framework for fair elections.</w:t>
      </w:r>
    </w:p>
    <w:p w:rsidRPr="00D1540F" w:rsidR="0002129A" w:rsidP="0002129A" w:rsidRDefault="0002129A" w14:paraId="1368F395" w14:textId="2DEB93AE">
      <w:pPr>
        <w:jc w:val="both"/>
        <w:rPr>
          <w:rFonts w:ascii="Calibri" w:hAnsi="Calibri" w:eastAsia="Calibri" w:cs="Calibri"/>
        </w:rPr>
      </w:pPr>
      <w:r w:rsidRPr="00D1540F">
        <w:rPr>
          <w:rFonts w:ascii="Calibri" w:hAnsi="Calibri" w:eastAsia="Calibri" w:cs="Calibri"/>
        </w:rPr>
        <w:t xml:space="preserve">Therefore, it is necessary to initiate a dialogue in or out of the </w:t>
      </w:r>
      <w:r w:rsidRPr="00D1540F" w:rsidR="00EF7730">
        <w:rPr>
          <w:rFonts w:ascii="Calibri" w:hAnsi="Calibri" w:eastAsia="Calibri" w:cs="Calibri"/>
        </w:rPr>
        <w:t>Parliament</w:t>
      </w:r>
      <w:r w:rsidRPr="00D1540F">
        <w:rPr>
          <w:rFonts w:ascii="Calibri" w:hAnsi="Calibri" w:eastAsia="Calibri" w:cs="Calibri"/>
        </w:rPr>
        <w:t xml:space="preserve"> that would </w:t>
      </w:r>
      <w:r w:rsidR="004F3447">
        <w:rPr>
          <w:rFonts w:ascii="Calibri" w:hAnsi="Calibri" w:eastAsia="Calibri" w:cs="Calibri"/>
        </w:rPr>
        <w:t>lead to</w:t>
      </w:r>
      <w:r w:rsidRPr="00D1540F">
        <w:rPr>
          <w:rFonts w:ascii="Calibri" w:hAnsi="Calibri" w:eastAsia="Calibri" w:cs="Calibri"/>
        </w:rPr>
        <w:t xml:space="preserve"> an agreement on a new solution. If this </w:t>
      </w:r>
      <w:r w:rsidRPr="00D1540F" w:rsidR="00A77E38">
        <w:rPr>
          <w:rFonts w:ascii="Calibri" w:hAnsi="Calibri" w:eastAsia="Calibri" w:cs="Calibri"/>
        </w:rPr>
        <w:t>cannot</w:t>
      </w:r>
      <w:r w:rsidRPr="00D1540F">
        <w:rPr>
          <w:rFonts w:ascii="Calibri" w:hAnsi="Calibri" w:eastAsia="Calibri" w:cs="Calibri"/>
        </w:rPr>
        <w:t xml:space="preserve"> be done in </w:t>
      </w:r>
      <w:r w:rsidRPr="00D1540F" w:rsidR="00EF7730">
        <w:rPr>
          <w:rFonts w:ascii="Calibri" w:hAnsi="Calibri" w:eastAsia="Calibri" w:cs="Calibri"/>
        </w:rPr>
        <w:t xml:space="preserve">the </w:t>
      </w:r>
      <w:r w:rsidRPr="00D1540F">
        <w:rPr>
          <w:rFonts w:ascii="Calibri" w:hAnsi="Calibri" w:eastAsia="Calibri" w:cs="Calibri"/>
        </w:rPr>
        <w:t xml:space="preserve">Parliament, an additional option should be considered for this dialogue to be initiated by another institution - </w:t>
      </w:r>
      <w:r w:rsidRPr="00D1540F" w:rsidR="00A77E38">
        <w:rPr>
          <w:rFonts w:ascii="Calibri" w:hAnsi="Calibri" w:eastAsia="Calibri" w:cs="Calibri"/>
        </w:rPr>
        <w:t>e.g.</w:t>
      </w:r>
      <w:r w:rsidRPr="00D1540F">
        <w:rPr>
          <w:rFonts w:ascii="Calibri" w:hAnsi="Calibri" w:eastAsia="Calibri" w:cs="Calibri"/>
        </w:rPr>
        <w:t xml:space="preserve"> the President of Montenegro. This dialogue would take place under the auspices of state institutions, and the</w:t>
      </w:r>
      <w:r w:rsidRPr="00D1540F" w:rsidR="00EF7730">
        <w:rPr>
          <w:rFonts w:ascii="Calibri" w:hAnsi="Calibri" w:eastAsia="Calibri" w:cs="Calibri"/>
        </w:rPr>
        <w:t xml:space="preserve"> political</w:t>
      </w:r>
      <w:r w:rsidRPr="00D1540F">
        <w:rPr>
          <w:rFonts w:ascii="Calibri" w:hAnsi="Calibri" w:eastAsia="Calibri" w:cs="Calibri"/>
        </w:rPr>
        <w:t xml:space="preserve"> parties that d</w:t>
      </w:r>
      <w:r w:rsidRPr="00D1540F" w:rsidR="00EF7730">
        <w:rPr>
          <w:rFonts w:ascii="Calibri" w:hAnsi="Calibri" w:eastAsia="Calibri" w:cs="Calibri"/>
        </w:rPr>
        <w:t>o</w:t>
      </w:r>
      <w:r w:rsidRPr="00D1540F">
        <w:rPr>
          <w:rFonts w:ascii="Calibri" w:hAnsi="Calibri" w:eastAsia="Calibri" w:cs="Calibri"/>
        </w:rPr>
        <w:t xml:space="preserve"> not want to do so would not have to participate in the work of th</w:t>
      </w:r>
      <w:r w:rsidRPr="00D1540F" w:rsidR="00EF7730">
        <w:rPr>
          <w:rFonts w:ascii="Calibri" w:hAnsi="Calibri" w:eastAsia="Calibri" w:cs="Calibri"/>
        </w:rPr>
        <w:t>e Parliament until the very act of endorsing a new law</w:t>
      </w:r>
      <w:r w:rsidRPr="00D1540F">
        <w:rPr>
          <w:rFonts w:ascii="Calibri" w:hAnsi="Calibri" w:eastAsia="Calibri" w:cs="Calibri"/>
        </w:rPr>
        <w:t>. In addition to this, conversations</w:t>
      </w:r>
      <w:r w:rsidRPr="00D1540F" w:rsidR="00402DD5">
        <w:rPr>
          <w:rFonts w:ascii="Calibri" w:hAnsi="Calibri" w:eastAsia="Calibri" w:cs="Calibri"/>
        </w:rPr>
        <w:t xml:space="preserve"> of the political parties</w:t>
      </w:r>
      <w:r w:rsidRPr="00D1540F">
        <w:rPr>
          <w:rFonts w:ascii="Calibri" w:hAnsi="Calibri" w:eastAsia="Calibri" w:cs="Calibri"/>
        </w:rPr>
        <w:t xml:space="preserve"> outside the institutions, which should be initiated by the ruling parties, are also possible.</w:t>
      </w:r>
    </w:p>
    <w:p w:rsidRPr="00D1540F" w:rsidR="00683923" w:rsidP="00683923" w:rsidRDefault="00683923" w14:paraId="5F798C5E" w14:textId="09A195D2">
      <w:pPr>
        <w:jc w:val="both"/>
        <w:rPr>
          <w:rFonts w:ascii="Calibri" w:hAnsi="Calibri" w:eastAsia="Calibri" w:cs="Calibri"/>
        </w:rPr>
      </w:pPr>
      <w:r w:rsidRPr="00D1540F">
        <w:rPr>
          <w:rFonts w:ascii="Calibri" w:hAnsi="Calibri" w:eastAsia="Calibri" w:cs="Calibri"/>
        </w:rPr>
        <w:t xml:space="preserve">Anyway, this process has to start as soon as </w:t>
      </w:r>
      <w:r w:rsidRPr="00D1540F" w:rsidR="00402DD5">
        <w:rPr>
          <w:rFonts w:ascii="Calibri" w:hAnsi="Calibri" w:eastAsia="Calibri" w:cs="Calibri"/>
        </w:rPr>
        <w:t xml:space="preserve">possible as </w:t>
      </w:r>
      <w:r w:rsidRPr="00D1540F">
        <w:rPr>
          <w:rFonts w:ascii="Calibri" w:hAnsi="Calibri" w:eastAsia="Calibri" w:cs="Calibri"/>
        </w:rPr>
        <w:t xml:space="preserve">there is no time or space for excuses. There can be nothing </w:t>
      </w:r>
      <w:r w:rsidRPr="00D1540F" w:rsidR="00402DD5">
        <w:rPr>
          <w:rFonts w:ascii="Calibri" w:hAnsi="Calibri" w:eastAsia="Calibri" w:cs="Calibri"/>
        </w:rPr>
        <w:t>more negative for</w:t>
      </w:r>
      <w:r w:rsidRPr="00D1540F">
        <w:rPr>
          <w:rFonts w:ascii="Calibri" w:hAnsi="Calibri" w:eastAsia="Calibri" w:cs="Calibri"/>
        </w:rPr>
        <w:t xml:space="preserve"> democracy in Montenegro than </w:t>
      </w:r>
      <w:r w:rsidRPr="00D1540F" w:rsidR="00402DD5">
        <w:rPr>
          <w:rFonts w:ascii="Calibri" w:hAnsi="Calibri" w:eastAsia="Calibri" w:cs="Calibri"/>
        </w:rPr>
        <w:t xml:space="preserve">having </w:t>
      </w:r>
      <w:r w:rsidRPr="00D1540F">
        <w:rPr>
          <w:rFonts w:ascii="Calibri" w:hAnsi="Calibri" w:eastAsia="Calibri" w:cs="Calibri"/>
        </w:rPr>
        <w:t>a</w:t>
      </w:r>
      <w:r w:rsidRPr="00D1540F" w:rsidR="00402DD5">
        <w:rPr>
          <w:rFonts w:ascii="Calibri" w:hAnsi="Calibri" w:eastAsia="Calibri" w:cs="Calibri"/>
        </w:rPr>
        <w:t>n institution without integrity c</w:t>
      </w:r>
      <w:r w:rsidR="00980F18">
        <w:rPr>
          <w:rFonts w:ascii="Calibri" w:hAnsi="Calibri" w:eastAsia="Calibri" w:cs="Calibri"/>
        </w:rPr>
        <w:t>onducting</w:t>
      </w:r>
      <w:r w:rsidRPr="00D1540F" w:rsidR="00402DD5">
        <w:rPr>
          <w:rFonts w:ascii="Calibri" w:hAnsi="Calibri" w:eastAsia="Calibri" w:cs="Calibri"/>
        </w:rPr>
        <w:t xml:space="preserve"> the next elections</w:t>
      </w:r>
      <w:r w:rsidRPr="00D1540F">
        <w:rPr>
          <w:rFonts w:ascii="Calibri" w:hAnsi="Calibri" w:eastAsia="Calibri" w:cs="Calibri"/>
        </w:rPr>
        <w:t>, and all political actors must be aware of it.</w:t>
      </w:r>
    </w:p>
    <w:p w:rsidRPr="00D1540F" w:rsidR="0002129A" w:rsidP="0002129A" w:rsidRDefault="0002129A" w14:paraId="6305C2E1" w14:textId="0B5FDEF8">
      <w:pPr>
        <w:jc w:val="both"/>
        <w:rPr>
          <w:rFonts w:ascii="Calibri" w:hAnsi="Calibri" w:eastAsia="Calibri" w:cs="Calibri"/>
          <w:b/>
        </w:rPr>
      </w:pPr>
      <w:r w:rsidRPr="00D1540F">
        <w:rPr>
          <w:rFonts w:ascii="Calibri" w:hAnsi="Calibri" w:eastAsia="Calibri" w:cs="Calibri"/>
          <w:b/>
        </w:rPr>
        <w:t>Prepar</w:t>
      </w:r>
      <w:r w:rsidRPr="00D1540F" w:rsidR="00001226">
        <w:rPr>
          <w:rFonts w:ascii="Calibri" w:hAnsi="Calibri" w:eastAsia="Calibri" w:cs="Calibri"/>
          <w:b/>
        </w:rPr>
        <w:t>ation of a</w:t>
      </w:r>
      <w:r w:rsidRPr="00D1540F">
        <w:rPr>
          <w:rFonts w:ascii="Calibri" w:hAnsi="Calibri" w:eastAsia="Calibri" w:cs="Calibri"/>
          <w:b/>
        </w:rPr>
        <w:t xml:space="preserve"> </w:t>
      </w:r>
      <w:r w:rsidRPr="00D1540F" w:rsidR="00402DD5">
        <w:rPr>
          <w:rFonts w:ascii="Calibri" w:hAnsi="Calibri" w:eastAsia="Calibri" w:cs="Calibri"/>
          <w:b/>
        </w:rPr>
        <w:t xml:space="preserve">Proposal for the Law on Election Administration </w:t>
      </w:r>
    </w:p>
    <w:p w:rsidRPr="00D1540F" w:rsidR="0002129A" w:rsidP="0002129A" w:rsidRDefault="00001226" w14:paraId="0C228E6C" w14:textId="7B0DB65A">
      <w:pPr>
        <w:jc w:val="both"/>
        <w:rPr>
          <w:rFonts w:ascii="Calibri" w:hAnsi="Calibri" w:eastAsia="Calibri" w:cs="Calibri"/>
        </w:rPr>
      </w:pPr>
      <w:r w:rsidRPr="00D1540F">
        <w:rPr>
          <w:rFonts w:ascii="Calibri" w:hAnsi="Calibri" w:eastAsia="Calibri" w:cs="Calibri"/>
        </w:rPr>
        <w:t>All significant proposals</w:t>
      </w:r>
      <w:r w:rsidRPr="00D1540F" w:rsidR="0002129A">
        <w:rPr>
          <w:rFonts w:ascii="Calibri" w:hAnsi="Calibri" w:eastAsia="Calibri" w:cs="Calibri"/>
        </w:rPr>
        <w:t xml:space="preserve"> </w:t>
      </w:r>
      <w:r w:rsidRPr="00D1540F" w:rsidR="00402DD5">
        <w:rPr>
          <w:rFonts w:ascii="Calibri" w:hAnsi="Calibri" w:eastAsia="Calibri" w:cs="Calibri"/>
        </w:rPr>
        <w:t xml:space="preserve">by CDT </w:t>
      </w:r>
      <w:r w:rsidRPr="00D1540F" w:rsidR="0002129A">
        <w:rPr>
          <w:rFonts w:ascii="Calibri" w:hAnsi="Calibri" w:eastAsia="Calibri" w:cs="Calibri"/>
        </w:rPr>
        <w:t>for changing the current state of affairs h</w:t>
      </w:r>
      <w:r w:rsidR="008C61EF">
        <w:rPr>
          <w:rFonts w:ascii="Calibri" w:hAnsi="Calibri" w:eastAsia="Calibri" w:cs="Calibri"/>
        </w:rPr>
        <w:t>ave been given in the document “</w:t>
      </w:r>
      <w:r w:rsidRPr="00D1540F" w:rsidR="00AC5367">
        <w:rPr>
          <w:rFonts w:ascii="Calibri" w:hAnsi="Calibri" w:eastAsia="Calibri" w:cs="Calibri"/>
        </w:rPr>
        <w:t xml:space="preserve">Depoliticized and efficient election administration - a prerequisite of having trust in </w:t>
      </w:r>
      <w:r w:rsidRPr="00D1540F" w:rsidR="00AC5367">
        <w:rPr>
          <w:rFonts w:ascii="Calibri" w:hAnsi="Calibri" w:eastAsia="Calibri" w:cs="Calibri"/>
        </w:rPr>
        <w:lastRenderedPageBreak/>
        <w:t>elections</w:t>
      </w:r>
      <w:r w:rsidR="008C61EF">
        <w:rPr>
          <w:rFonts w:ascii="Calibri" w:hAnsi="Calibri" w:eastAsia="Calibri" w:cs="Calibri"/>
        </w:rPr>
        <w:t xml:space="preserve">”, </w:t>
      </w:r>
      <w:r w:rsidRPr="00D1540F" w:rsidR="00A77E38">
        <w:rPr>
          <w:rFonts w:ascii="Calibri" w:hAnsi="Calibri" w:eastAsia="Calibri" w:cs="Calibri"/>
        </w:rPr>
        <w:t>which</w:t>
      </w:r>
      <w:r w:rsidRPr="00D1540F" w:rsidR="0002129A">
        <w:rPr>
          <w:rFonts w:ascii="Calibri" w:hAnsi="Calibri" w:eastAsia="Calibri" w:cs="Calibri"/>
        </w:rPr>
        <w:t xml:space="preserve"> w</w:t>
      </w:r>
      <w:r w:rsidR="00337A6F">
        <w:rPr>
          <w:rFonts w:ascii="Calibri" w:hAnsi="Calibri" w:eastAsia="Calibri" w:cs="Calibri"/>
        </w:rPr>
        <w:t>as</w:t>
      </w:r>
      <w:r w:rsidRPr="00D1540F" w:rsidR="0002129A">
        <w:rPr>
          <w:rFonts w:ascii="Calibri" w:hAnsi="Calibri" w:eastAsia="Calibri" w:cs="Calibri"/>
        </w:rPr>
        <w:t xml:space="preserve"> </w:t>
      </w:r>
      <w:r w:rsidR="00337A6F">
        <w:rPr>
          <w:rFonts w:ascii="Calibri" w:hAnsi="Calibri" w:eastAsia="Calibri" w:cs="Calibri"/>
        </w:rPr>
        <w:t>published</w:t>
      </w:r>
      <w:r w:rsidRPr="00D1540F" w:rsidR="0002129A">
        <w:rPr>
          <w:rFonts w:ascii="Calibri" w:hAnsi="Calibri" w:eastAsia="Calibri" w:cs="Calibri"/>
        </w:rPr>
        <w:t xml:space="preserve"> in early 2017</w:t>
      </w:r>
      <w:r w:rsidRPr="00D1540F">
        <w:rPr>
          <w:rStyle w:val="FootnoteReference"/>
          <w:rFonts w:ascii="Calibri" w:hAnsi="Calibri" w:eastAsia="Calibri" w:cs="Calibri"/>
        </w:rPr>
        <w:footnoteReference w:id="13"/>
      </w:r>
      <w:r w:rsidRPr="00D1540F" w:rsidR="0002129A">
        <w:rPr>
          <w:rFonts w:ascii="Calibri" w:hAnsi="Calibri" w:eastAsia="Calibri" w:cs="Calibri"/>
        </w:rPr>
        <w:t>. Unfortunately, almost nothing has changed since then, so all the proposals remain in effect. For the clarity of the text we give the basic directions of our propos</w:t>
      </w:r>
      <w:r w:rsidRPr="00D1540F">
        <w:rPr>
          <w:rFonts w:ascii="Calibri" w:hAnsi="Calibri" w:eastAsia="Calibri" w:cs="Calibri"/>
        </w:rPr>
        <w:t>als</w:t>
      </w:r>
      <w:r w:rsidRPr="00D1540F" w:rsidR="0002129A">
        <w:rPr>
          <w:rFonts w:ascii="Calibri" w:hAnsi="Calibri" w:eastAsia="Calibri" w:cs="Calibri"/>
        </w:rPr>
        <w:t>.</w:t>
      </w:r>
    </w:p>
    <w:p w:rsidRPr="00D1540F" w:rsidR="0524E42C" w:rsidP="00BE4C6E" w:rsidRDefault="00BE4C6E" w14:paraId="6B0C79B0" w14:textId="228AAB92">
      <w:pPr>
        <w:pStyle w:val="ListParagraph"/>
        <w:numPr>
          <w:ilvl w:val="0"/>
          <w:numId w:val="5"/>
        </w:numPr>
        <w:jc w:val="both"/>
        <w:rPr>
          <w:rFonts w:ascii="Calibri" w:hAnsi="Calibri" w:eastAsia="Calibri" w:cs="Calibri"/>
        </w:rPr>
      </w:pPr>
      <w:r w:rsidRPr="00D1540F">
        <w:rPr>
          <w:rFonts w:ascii="Calibri" w:hAnsi="Calibri" w:eastAsia="Calibri" w:cs="Calibri"/>
        </w:rPr>
        <w:t>Adopt</w:t>
      </w:r>
      <w:r w:rsidRPr="00D1540F" w:rsidR="00001226">
        <w:rPr>
          <w:rFonts w:ascii="Calibri" w:hAnsi="Calibri" w:eastAsia="Calibri" w:cs="Calibri"/>
        </w:rPr>
        <w:t>ion of</w:t>
      </w:r>
      <w:r w:rsidRPr="00D1540F">
        <w:rPr>
          <w:rFonts w:ascii="Calibri" w:hAnsi="Calibri" w:eastAsia="Calibri" w:cs="Calibri"/>
        </w:rPr>
        <w:t xml:space="preserve"> a special law</w:t>
      </w:r>
    </w:p>
    <w:p w:rsidRPr="00D1540F" w:rsidR="00683923" w:rsidP="00683923" w:rsidRDefault="0077318F" w14:paraId="259B8213" w14:textId="5E884B31">
      <w:pPr>
        <w:jc w:val="both"/>
        <w:rPr>
          <w:rFonts w:ascii="Calibri" w:hAnsi="Calibri" w:eastAsia="Calibri" w:cs="Calibri"/>
        </w:rPr>
      </w:pPr>
      <w:r w:rsidRPr="00D1540F">
        <w:rPr>
          <w:rFonts w:ascii="Calibri" w:hAnsi="Calibri" w:eastAsia="Calibri" w:cs="Calibri"/>
        </w:rPr>
        <w:t>W</w:t>
      </w:r>
      <w:r w:rsidRPr="00D1540F" w:rsidR="00683923">
        <w:rPr>
          <w:rFonts w:ascii="Calibri" w:hAnsi="Calibri" w:eastAsia="Calibri" w:cs="Calibri"/>
        </w:rPr>
        <w:t>ork of the elect</w:t>
      </w:r>
      <w:r w:rsidRPr="00D1540F">
        <w:rPr>
          <w:rFonts w:ascii="Calibri" w:hAnsi="Calibri" w:eastAsia="Calibri" w:cs="Calibri"/>
        </w:rPr>
        <w:t>ion</w:t>
      </w:r>
      <w:r w:rsidRPr="00D1540F" w:rsidR="00683923">
        <w:rPr>
          <w:rFonts w:ascii="Calibri" w:hAnsi="Calibri" w:eastAsia="Calibri" w:cs="Calibri"/>
        </w:rPr>
        <w:t xml:space="preserve"> administration </w:t>
      </w:r>
      <w:r w:rsidRPr="00D1540F">
        <w:rPr>
          <w:rFonts w:ascii="Calibri" w:hAnsi="Calibri" w:eastAsia="Calibri" w:cs="Calibri"/>
        </w:rPr>
        <w:t>is not regulated by a special law but is part of the L</w:t>
      </w:r>
      <w:r w:rsidRPr="00D1540F" w:rsidR="00683923">
        <w:rPr>
          <w:rFonts w:ascii="Calibri" w:hAnsi="Calibri" w:eastAsia="Calibri" w:cs="Calibri"/>
        </w:rPr>
        <w:t xml:space="preserve">aw on </w:t>
      </w:r>
      <w:r w:rsidRPr="00D1540F">
        <w:rPr>
          <w:rFonts w:ascii="Calibri" w:hAnsi="Calibri" w:eastAsia="Calibri" w:cs="Calibri"/>
        </w:rPr>
        <w:t>E</w:t>
      </w:r>
      <w:r w:rsidRPr="00D1540F" w:rsidR="00683923">
        <w:rPr>
          <w:rFonts w:ascii="Calibri" w:hAnsi="Calibri" w:eastAsia="Calibri" w:cs="Calibri"/>
        </w:rPr>
        <w:t xml:space="preserve">lection of </w:t>
      </w:r>
      <w:r w:rsidRPr="00D1540F" w:rsidR="00A77E38">
        <w:rPr>
          <w:rFonts w:ascii="Calibri" w:hAnsi="Calibri" w:eastAsia="Calibri" w:cs="Calibri"/>
        </w:rPr>
        <w:t>Councilors</w:t>
      </w:r>
      <w:r w:rsidRPr="00D1540F">
        <w:rPr>
          <w:rFonts w:ascii="Calibri" w:hAnsi="Calibri" w:eastAsia="Calibri" w:cs="Calibri"/>
        </w:rPr>
        <w:t xml:space="preserve"> and Representatives</w:t>
      </w:r>
      <w:r w:rsidRPr="00D1540F" w:rsidR="00683923">
        <w:rPr>
          <w:rFonts w:ascii="Calibri" w:hAnsi="Calibri" w:eastAsia="Calibri" w:cs="Calibri"/>
        </w:rPr>
        <w:t xml:space="preserve">. During the electoral reform of 2013/14 </w:t>
      </w:r>
      <w:r w:rsidRPr="00D1540F">
        <w:rPr>
          <w:rFonts w:ascii="Calibri" w:hAnsi="Calibri" w:eastAsia="Calibri" w:cs="Calibri"/>
        </w:rPr>
        <w:t>the preparation of a special law began</w:t>
      </w:r>
      <w:r w:rsidRPr="00D1540F" w:rsidR="00683923">
        <w:rPr>
          <w:rFonts w:ascii="Calibri" w:hAnsi="Calibri" w:eastAsia="Calibri" w:cs="Calibri"/>
        </w:rPr>
        <w:t xml:space="preserve"> and then that idea was dropped. We believe that a special law would contribute to more serious treatment of elect</w:t>
      </w:r>
      <w:r w:rsidRPr="00D1540F">
        <w:rPr>
          <w:rFonts w:ascii="Calibri" w:hAnsi="Calibri" w:eastAsia="Calibri" w:cs="Calibri"/>
        </w:rPr>
        <w:t>ion</w:t>
      </w:r>
      <w:r w:rsidRPr="00D1540F" w:rsidR="00683923">
        <w:rPr>
          <w:rFonts w:ascii="Calibri" w:hAnsi="Calibri" w:eastAsia="Calibri" w:cs="Calibri"/>
        </w:rPr>
        <w:t xml:space="preserve"> administration and greatly simplify application of the current provisions.</w:t>
      </w:r>
    </w:p>
    <w:p w:rsidRPr="00D1540F" w:rsidR="00BE4C6E" w:rsidP="00BE4C6E" w:rsidRDefault="00BE4C6E" w14:paraId="05E24379" w14:textId="6B0242F6">
      <w:pPr>
        <w:pStyle w:val="ListParagraph"/>
        <w:numPr>
          <w:ilvl w:val="0"/>
          <w:numId w:val="5"/>
        </w:numPr>
        <w:jc w:val="both"/>
      </w:pPr>
      <w:r w:rsidRPr="00D1540F">
        <w:t>Introduc</w:t>
      </w:r>
      <w:r w:rsidR="00122F3B">
        <w:t>ing</w:t>
      </w:r>
      <w:r w:rsidRPr="00D1540F">
        <w:t xml:space="preserve"> </w:t>
      </w:r>
      <w:r w:rsidRPr="00D1540F" w:rsidR="0077318F">
        <w:t xml:space="preserve">an </w:t>
      </w:r>
      <w:r w:rsidRPr="00D1540F">
        <w:t>expert election administration (</w:t>
      </w:r>
      <w:r w:rsidRPr="00D1540F" w:rsidR="0077318F">
        <w:t xml:space="preserve">at least </w:t>
      </w:r>
      <w:r w:rsidRPr="00D1540F">
        <w:t>up to the level of polling boards)</w:t>
      </w:r>
    </w:p>
    <w:p w:rsidRPr="00D1540F" w:rsidR="00683923" w:rsidP="00683923" w:rsidRDefault="00DD6EBA" w14:paraId="71CC38D2" w14:textId="6F3976D1">
      <w:pPr>
        <w:jc w:val="both"/>
      </w:pPr>
      <w:r w:rsidRPr="00D1540F">
        <w:t>The SEC</w:t>
      </w:r>
      <w:r w:rsidRPr="00D1540F" w:rsidR="00683923">
        <w:t xml:space="preserve"> should be composed of members who meet strictly established </w:t>
      </w:r>
      <w:r w:rsidRPr="00D1540F" w:rsidR="00605012">
        <w:t xml:space="preserve">requirements </w:t>
      </w:r>
      <w:r w:rsidRPr="00D1540F" w:rsidR="00683923">
        <w:t xml:space="preserve">of expertise and political impartiality. The number of members should be significantly reduced - 5-7 </w:t>
      </w:r>
      <w:r w:rsidR="001D553D">
        <w:t xml:space="preserve">standing </w:t>
      </w:r>
      <w:r w:rsidRPr="00D1540F" w:rsidR="00683923">
        <w:t xml:space="preserve">members (including </w:t>
      </w:r>
      <w:r w:rsidRPr="00D1540F" w:rsidR="00605012">
        <w:t xml:space="preserve">a </w:t>
      </w:r>
      <w:r w:rsidR="001F527E">
        <w:t>chairperson</w:t>
      </w:r>
      <w:r w:rsidRPr="00D1540F" w:rsidR="00683923">
        <w:t>) with</w:t>
      </w:r>
      <w:r w:rsidRPr="00D1540F" w:rsidR="00605012">
        <w:t xml:space="preserve"> an</w:t>
      </w:r>
      <w:r w:rsidRPr="00D1540F" w:rsidR="00683923">
        <w:t xml:space="preserve"> appropriate technical service</w:t>
      </w:r>
      <w:r w:rsidRPr="00D1540F" w:rsidR="00605012">
        <w:t xml:space="preserve"> would be enough</w:t>
      </w:r>
      <w:r w:rsidRPr="00D1540F" w:rsidR="00683923">
        <w:t>. Fewer members will result in more effective discussions and decision-making. The uneven number of members guarantees that decisions can be made by a simple majority, and that i</w:t>
      </w:r>
      <w:r w:rsidR="001D553D">
        <w:t>t is not necessary to assign a “</w:t>
      </w:r>
      <w:r w:rsidRPr="00D1540F" w:rsidR="00683923">
        <w:t>golden vo</w:t>
      </w:r>
      <w:r w:rsidRPr="00D1540F" w:rsidR="00605012">
        <w:t>te</w:t>
      </w:r>
      <w:r w:rsidR="001D553D">
        <w:t>”</w:t>
      </w:r>
      <w:r w:rsidRPr="00D1540F" w:rsidR="00683923">
        <w:t xml:space="preserve"> to </w:t>
      </w:r>
      <w:r w:rsidRPr="00D1540F" w:rsidR="00605012">
        <w:t xml:space="preserve">a </w:t>
      </w:r>
      <w:r w:rsidR="001F527E">
        <w:t>chairperson</w:t>
      </w:r>
      <w:r w:rsidRPr="00D1540F" w:rsidR="00683923">
        <w:t xml:space="preserve">. Wide </w:t>
      </w:r>
      <w:r w:rsidRPr="00D1540F" w:rsidR="00EC2B2F">
        <w:t>re</w:t>
      </w:r>
      <w:r w:rsidRPr="00D1540F" w:rsidR="00683923">
        <w:t xml:space="preserve">presentation should be </w:t>
      </w:r>
      <w:r w:rsidRPr="00D1540F" w:rsidR="00605012">
        <w:t>enabled</w:t>
      </w:r>
      <w:r w:rsidRPr="00D1540F" w:rsidR="00EC2B2F">
        <w:t xml:space="preserve"> during</w:t>
      </w:r>
      <w:r w:rsidRPr="00D1540F" w:rsidR="00683923">
        <w:t xml:space="preserve"> the election campaign period, through the ex</w:t>
      </w:r>
      <w:r w:rsidR="001D553D">
        <w:t>tended c</w:t>
      </w:r>
      <w:r w:rsidRPr="00D1540F" w:rsidR="00683923">
        <w:t>omposition of</w:t>
      </w:r>
      <w:r w:rsidRPr="00D1540F" w:rsidR="00605012">
        <w:t xml:space="preserve"> the SEC</w:t>
      </w:r>
      <w:r w:rsidRPr="00D1540F" w:rsidR="00683923">
        <w:t xml:space="preserve">, </w:t>
      </w:r>
      <w:r w:rsidRPr="001D553D" w:rsidR="001D553D">
        <w:t>comprising representatives of</w:t>
      </w:r>
      <w:r w:rsidR="001D553D">
        <w:t xml:space="preserve"> political parties/</w:t>
      </w:r>
      <w:r w:rsidRPr="00D1540F" w:rsidR="00683923">
        <w:t xml:space="preserve">candidates. They would </w:t>
      </w:r>
      <w:r w:rsidRPr="00D1540F" w:rsidR="00605012">
        <w:t>participate</w:t>
      </w:r>
      <w:r w:rsidRPr="00D1540F" w:rsidR="00683923">
        <w:t xml:space="preserve"> in the work and discussions, but </w:t>
      </w:r>
      <w:r w:rsidRPr="00D1540F" w:rsidR="00605012">
        <w:t>without the right to vote</w:t>
      </w:r>
      <w:r w:rsidRPr="00D1540F" w:rsidR="00683923">
        <w:t xml:space="preserve">. </w:t>
      </w:r>
      <w:r w:rsidRPr="00D1540F" w:rsidR="00605012">
        <w:t xml:space="preserve">Municipal election commissions (MECs) should be composed in the same </w:t>
      </w:r>
      <w:r w:rsidRPr="00D1540F" w:rsidR="00A77E38">
        <w:t>way;</w:t>
      </w:r>
      <w:r w:rsidRPr="00D1540F" w:rsidR="00605012">
        <w:t xml:space="preserve"> only for MEC it would be </w:t>
      </w:r>
      <w:r w:rsidRPr="00D1540F" w:rsidR="00A77E38">
        <w:t>enough</w:t>
      </w:r>
      <w:r w:rsidRPr="00D1540F" w:rsidR="00605012">
        <w:t xml:space="preserve"> to have</w:t>
      </w:r>
      <w:r w:rsidRPr="00D1540F" w:rsidR="00683923">
        <w:t xml:space="preserve"> three to five members.</w:t>
      </w:r>
    </w:p>
    <w:p w:rsidRPr="00D1540F" w:rsidR="00BE4C6E" w:rsidP="00BE4C6E" w:rsidRDefault="00BE4C6E" w14:paraId="6A0D7ED3" w14:textId="27149CE1">
      <w:pPr>
        <w:pStyle w:val="ListParagraph"/>
        <w:numPr>
          <w:ilvl w:val="0"/>
          <w:numId w:val="5"/>
        </w:numPr>
        <w:jc w:val="both"/>
        <w:rPr>
          <w:rFonts w:ascii="Calibri" w:hAnsi="Calibri" w:eastAsia="Calibri" w:cs="Calibri"/>
        </w:rPr>
      </w:pPr>
      <w:r w:rsidRPr="00D1540F">
        <w:rPr>
          <w:rFonts w:ascii="Calibri" w:hAnsi="Calibri" w:eastAsia="Calibri" w:cs="Calibri"/>
        </w:rPr>
        <w:t>Introducing a new majority for election of its members</w:t>
      </w:r>
    </w:p>
    <w:p w:rsidRPr="00D1540F" w:rsidR="00BE4C6E" w:rsidP="00BE4C6E" w:rsidRDefault="00BE4C6E" w14:paraId="0984A305" w14:textId="7372B745">
      <w:pPr>
        <w:jc w:val="both"/>
        <w:rPr>
          <w:rFonts w:ascii="Calibri" w:hAnsi="Calibri" w:eastAsia="Calibri" w:cs="Calibri"/>
        </w:rPr>
      </w:pPr>
      <w:r w:rsidRPr="00D1540F">
        <w:rPr>
          <w:rFonts w:ascii="Calibri" w:hAnsi="Calibri" w:eastAsia="Calibri" w:cs="Calibri"/>
        </w:rPr>
        <w:t xml:space="preserve">There are two </w:t>
      </w:r>
      <w:r w:rsidRPr="00D1540F" w:rsidR="00A77E38">
        <w:rPr>
          <w:rFonts w:ascii="Calibri" w:hAnsi="Calibri" w:eastAsia="Calibri" w:cs="Calibri"/>
        </w:rPr>
        <w:t>options</w:t>
      </w:r>
      <w:r w:rsidRPr="00D1540F">
        <w:rPr>
          <w:rFonts w:ascii="Calibri" w:hAnsi="Calibri" w:eastAsia="Calibri" w:cs="Calibri"/>
        </w:rPr>
        <w:t xml:space="preserve"> </w:t>
      </w:r>
      <w:r w:rsidR="00122F3B">
        <w:rPr>
          <w:rFonts w:ascii="Calibri" w:hAnsi="Calibri" w:eastAsia="Calibri" w:cs="Calibri"/>
        </w:rPr>
        <w:t>for resolving</w:t>
      </w:r>
      <w:r w:rsidRPr="00D1540F">
        <w:rPr>
          <w:rFonts w:ascii="Calibri" w:hAnsi="Calibri" w:eastAsia="Calibri" w:cs="Calibri"/>
        </w:rPr>
        <w:t xml:space="preserve"> the issue of </w:t>
      </w:r>
      <w:r w:rsidRPr="00D1540F" w:rsidR="0077318F">
        <w:rPr>
          <w:rFonts w:ascii="Calibri" w:hAnsi="Calibri" w:eastAsia="Calibri" w:cs="Calibri"/>
        </w:rPr>
        <w:t>election of the SEC members</w:t>
      </w:r>
      <w:r w:rsidRPr="00D1540F">
        <w:rPr>
          <w:rFonts w:ascii="Calibri" w:hAnsi="Calibri" w:eastAsia="Calibri" w:cs="Calibri"/>
        </w:rPr>
        <w:t>.</w:t>
      </w:r>
    </w:p>
    <w:p w:rsidRPr="00D1540F" w:rsidR="00BE4C6E" w:rsidP="00BE4C6E" w:rsidRDefault="00605012" w14:paraId="2E8BA008" w14:textId="61E91355">
      <w:pPr>
        <w:jc w:val="both"/>
        <w:rPr>
          <w:rFonts w:ascii="Calibri" w:hAnsi="Calibri" w:eastAsia="Calibri" w:cs="Calibri"/>
        </w:rPr>
      </w:pPr>
      <w:r w:rsidRPr="00D1540F">
        <w:rPr>
          <w:rFonts w:ascii="Calibri" w:hAnsi="Calibri" w:eastAsia="Calibri" w:cs="Calibri"/>
        </w:rPr>
        <w:t>The first option would be</w:t>
      </w:r>
      <w:r w:rsidR="00122F3B">
        <w:rPr>
          <w:rFonts w:ascii="Calibri" w:hAnsi="Calibri" w:eastAsia="Calibri" w:cs="Calibri"/>
        </w:rPr>
        <w:t xml:space="preserve"> to</w:t>
      </w:r>
      <w:r w:rsidRPr="00D1540F">
        <w:rPr>
          <w:rFonts w:ascii="Calibri" w:hAnsi="Calibri" w:eastAsia="Calibri" w:cs="Calibri"/>
        </w:rPr>
        <w:t xml:space="preserve"> </w:t>
      </w:r>
      <w:r w:rsidRPr="00D1540F" w:rsidR="00BE4C6E">
        <w:rPr>
          <w:rFonts w:ascii="Calibri" w:hAnsi="Calibri" w:eastAsia="Calibri" w:cs="Calibri"/>
        </w:rPr>
        <w:t>introduc</w:t>
      </w:r>
      <w:r w:rsidR="00122F3B">
        <w:rPr>
          <w:rFonts w:ascii="Calibri" w:hAnsi="Calibri" w:eastAsia="Calibri" w:cs="Calibri"/>
        </w:rPr>
        <w:t>e</w:t>
      </w:r>
      <w:r w:rsidRPr="00D1540F" w:rsidR="00BE4C6E">
        <w:rPr>
          <w:rFonts w:ascii="Calibri" w:hAnsi="Calibri" w:eastAsia="Calibri" w:cs="Calibri"/>
        </w:rPr>
        <w:t xml:space="preserve"> </w:t>
      </w:r>
      <w:r w:rsidRPr="00D1540F">
        <w:rPr>
          <w:rFonts w:ascii="Calibri" w:hAnsi="Calibri" w:eastAsia="Calibri" w:cs="Calibri"/>
        </w:rPr>
        <w:t>a body that would, modeled on Judicial and Prosecutorial Council</w:t>
      </w:r>
      <w:r w:rsidRPr="00D1540F" w:rsidR="00BE4C6E">
        <w:rPr>
          <w:rFonts w:ascii="Calibri" w:hAnsi="Calibri" w:eastAsia="Calibri" w:cs="Calibri"/>
        </w:rPr>
        <w:t xml:space="preserve">, be elected by the </w:t>
      </w:r>
      <w:r w:rsidRPr="00D1540F">
        <w:rPr>
          <w:rFonts w:ascii="Calibri" w:hAnsi="Calibri" w:eastAsia="Calibri" w:cs="Calibri"/>
        </w:rPr>
        <w:t>Parliament</w:t>
      </w:r>
      <w:r w:rsidRPr="00D1540F" w:rsidR="00BE4C6E">
        <w:rPr>
          <w:rFonts w:ascii="Calibri" w:hAnsi="Calibri" w:eastAsia="Calibri" w:cs="Calibri"/>
        </w:rPr>
        <w:t>, and then</w:t>
      </w:r>
      <w:r w:rsidRPr="00D1540F">
        <w:rPr>
          <w:rFonts w:ascii="Calibri" w:hAnsi="Calibri" w:eastAsia="Calibri" w:cs="Calibri"/>
        </w:rPr>
        <w:t xml:space="preserve"> it would</w:t>
      </w:r>
      <w:r w:rsidRPr="00D1540F" w:rsidR="00BE4C6E">
        <w:rPr>
          <w:rFonts w:ascii="Calibri" w:hAnsi="Calibri" w:eastAsia="Calibri" w:cs="Calibri"/>
        </w:rPr>
        <w:t xml:space="preserve"> </w:t>
      </w:r>
      <w:r w:rsidRPr="00D1540F">
        <w:rPr>
          <w:rFonts w:ascii="Calibri" w:hAnsi="Calibri" w:eastAsia="Calibri" w:cs="Calibri"/>
        </w:rPr>
        <w:t xml:space="preserve">be </w:t>
      </w:r>
      <w:r w:rsidRPr="00D1540F" w:rsidR="00BE4C6E">
        <w:rPr>
          <w:rFonts w:ascii="Calibri" w:hAnsi="Calibri" w:eastAsia="Calibri" w:cs="Calibri"/>
        </w:rPr>
        <w:t>elect</w:t>
      </w:r>
      <w:r w:rsidRPr="00D1540F">
        <w:rPr>
          <w:rFonts w:ascii="Calibri" w:hAnsi="Calibri" w:eastAsia="Calibri" w:cs="Calibri"/>
        </w:rPr>
        <w:t>ing</w:t>
      </w:r>
      <w:r w:rsidRPr="00D1540F" w:rsidR="00BE4C6E">
        <w:rPr>
          <w:rFonts w:ascii="Calibri" w:hAnsi="Calibri" w:eastAsia="Calibri" w:cs="Calibri"/>
        </w:rPr>
        <w:t xml:space="preserve"> members of the </w:t>
      </w:r>
      <w:r w:rsidRPr="00D1540F">
        <w:rPr>
          <w:rFonts w:ascii="Calibri" w:hAnsi="Calibri" w:eastAsia="Calibri" w:cs="Calibri"/>
        </w:rPr>
        <w:t>SEC and MECs</w:t>
      </w:r>
      <w:r w:rsidRPr="00D1540F" w:rsidR="00BE4C6E">
        <w:rPr>
          <w:rFonts w:ascii="Calibri" w:hAnsi="Calibri" w:eastAsia="Calibri" w:cs="Calibri"/>
        </w:rPr>
        <w:t xml:space="preserve">. This body would consist of experts who have the best references in this area and would supervise all segments of </w:t>
      </w:r>
      <w:r w:rsidRPr="00D1540F">
        <w:rPr>
          <w:rFonts w:ascii="Calibri" w:hAnsi="Calibri" w:eastAsia="Calibri" w:cs="Calibri"/>
        </w:rPr>
        <w:t>the SEC</w:t>
      </w:r>
      <w:r w:rsidRPr="00D1540F" w:rsidR="00BE4C6E">
        <w:rPr>
          <w:rFonts w:ascii="Calibri" w:hAnsi="Calibri" w:eastAsia="Calibri" w:cs="Calibri"/>
        </w:rPr>
        <w:t>'s work and adopt its annual plans and reports on work.</w:t>
      </w:r>
    </w:p>
    <w:p w:rsidRPr="00D1540F" w:rsidR="00683923" w:rsidP="00683923" w:rsidRDefault="00605012" w14:paraId="4DFB7309" w14:textId="156374E1">
      <w:pPr>
        <w:jc w:val="both"/>
        <w:rPr>
          <w:rFonts w:ascii="Calibri" w:hAnsi="Calibri" w:eastAsia="Calibri" w:cs="Calibri"/>
        </w:rPr>
      </w:pPr>
      <w:r w:rsidRPr="00D1540F">
        <w:rPr>
          <w:rFonts w:ascii="Calibri" w:hAnsi="Calibri" w:eastAsia="Calibri" w:cs="Calibri"/>
        </w:rPr>
        <w:t>The second</w:t>
      </w:r>
      <w:r w:rsidRPr="00D1540F" w:rsidR="00683923">
        <w:rPr>
          <w:rFonts w:ascii="Calibri" w:hAnsi="Calibri" w:eastAsia="Calibri" w:cs="Calibri"/>
        </w:rPr>
        <w:t xml:space="preserve"> </w:t>
      </w:r>
      <w:r w:rsidRPr="00D1540F">
        <w:rPr>
          <w:rFonts w:ascii="Calibri" w:hAnsi="Calibri" w:eastAsia="Calibri" w:cs="Calibri"/>
        </w:rPr>
        <w:t xml:space="preserve">option </w:t>
      </w:r>
      <w:r w:rsidRPr="00D1540F" w:rsidR="00683923">
        <w:rPr>
          <w:rFonts w:ascii="Calibri" w:hAnsi="Calibri" w:eastAsia="Calibri" w:cs="Calibri"/>
        </w:rPr>
        <w:t xml:space="preserve">would be to </w:t>
      </w:r>
      <w:r w:rsidRPr="00D1540F" w:rsidR="0018557D">
        <w:rPr>
          <w:rFonts w:ascii="Calibri" w:hAnsi="Calibri" w:eastAsia="Calibri" w:cs="Calibri"/>
        </w:rPr>
        <w:t>have</w:t>
      </w:r>
      <w:r w:rsidRPr="00D1540F" w:rsidR="00683923">
        <w:rPr>
          <w:rFonts w:ascii="Calibri" w:hAnsi="Calibri" w:eastAsia="Calibri" w:cs="Calibri"/>
        </w:rPr>
        <w:t xml:space="preserve"> the competent </w:t>
      </w:r>
      <w:r w:rsidRPr="00D1540F" w:rsidR="0018557D">
        <w:rPr>
          <w:rFonts w:ascii="Calibri" w:hAnsi="Calibri" w:eastAsia="Calibri" w:cs="Calibri"/>
        </w:rPr>
        <w:t xml:space="preserve">parliamentary </w:t>
      </w:r>
      <w:r w:rsidRPr="00D1540F" w:rsidR="00683923">
        <w:rPr>
          <w:rFonts w:ascii="Calibri" w:hAnsi="Calibri" w:eastAsia="Calibri" w:cs="Calibri"/>
        </w:rPr>
        <w:t>committee</w:t>
      </w:r>
      <w:r w:rsidRPr="00D1540F" w:rsidR="0018557D">
        <w:rPr>
          <w:rFonts w:ascii="Calibri" w:hAnsi="Calibri" w:eastAsia="Calibri" w:cs="Calibri"/>
        </w:rPr>
        <w:t xml:space="preserve"> do this</w:t>
      </w:r>
      <w:r w:rsidRPr="00D1540F" w:rsidR="00683923">
        <w:rPr>
          <w:rFonts w:ascii="Calibri" w:hAnsi="Calibri" w:eastAsia="Calibri" w:cs="Calibri"/>
        </w:rPr>
        <w:t xml:space="preserve">, with introduction </w:t>
      </w:r>
      <w:r w:rsidRPr="00D1540F" w:rsidR="0018557D">
        <w:rPr>
          <w:rFonts w:ascii="Calibri" w:hAnsi="Calibri" w:eastAsia="Calibri" w:cs="Calibri"/>
        </w:rPr>
        <w:t xml:space="preserve">of a qualified majority for </w:t>
      </w:r>
      <w:r w:rsidRPr="00D1540F" w:rsidR="00683923">
        <w:rPr>
          <w:rFonts w:ascii="Calibri" w:hAnsi="Calibri" w:eastAsia="Calibri" w:cs="Calibri"/>
        </w:rPr>
        <w:t>election.</w:t>
      </w:r>
    </w:p>
    <w:p w:rsidRPr="00D1540F" w:rsidR="00BE4C6E" w:rsidP="00BE4C6E" w:rsidRDefault="0077318F" w14:paraId="6B3ECCD4" w14:textId="42AC430B">
      <w:pPr>
        <w:pStyle w:val="ListParagraph"/>
        <w:numPr>
          <w:ilvl w:val="0"/>
          <w:numId w:val="5"/>
        </w:numPr>
        <w:jc w:val="both"/>
        <w:rPr>
          <w:rFonts w:ascii="Calibri" w:hAnsi="Calibri" w:eastAsia="Calibri" w:cs="Calibri"/>
        </w:rPr>
      </w:pPr>
      <w:r w:rsidRPr="00D1540F">
        <w:rPr>
          <w:rFonts w:ascii="Calibri" w:hAnsi="Calibri" w:eastAsia="Calibri" w:cs="Calibri"/>
        </w:rPr>
        <w:t>Introduc</w:t>
      </w:r>
      <w:r w:rsidR="00122F3B">
        <w:rPr>
          <w:rFonts w:ascii="Calibri" w:hAnsi="Calibri" w:eastAsia="Calibri" w:cs="Calibri"/>
        </w:rPr>
        <w:t>ing</w:t>
      </w:r>
      <w:r w:rsidRPr="00D1540F">
        <w:rPr>
          <w:rFonts w:ascii="Calibri" w:hAnsi="Calibri" w:eastAsia="Calibri" w:cs="Calibri"/>
        </w:rPr>
        <w:t xml:space="preserve"> professional criteria for membership </w:t>
      </w:r>
    </w:p>
    <w:p w:rsidRPr="00D1540F" w:rsidR="00BE4C6E" w:rsidP="00BE4C6E" w:rsidRDefault="00BE4C6E" w14:paraId="1AB335DE" w14:textId="3FC83F0D">
      <w:pPr>
        <w:jc w:val="both"/>
        <w:rPr>
          <w:rFonts w:ascii="Calibri" w:hAnsi="Calibri" w:eastAsia="Calibri" w:cs="Calibri"/>
        </w:rPr>
      </w:pPr>
      <w:r w:rsidRPr="00D1540F">
        <w:rPr>
          <w:rFonts w:ascii="Calibri" w:hAnsi="Calibri" w:eastAsia="Calibri" w:cs="Calibri"/>
        </w:rPr>
        <w:t>With regard to expertise, can</w:t>
      </w:r>
      <w:r w:rsidRPr="00D1540F" w:rsidR="0018557D">
        <w:rPr>
          <w:rFonts w:ascii="Calibri" w:hAnsi="Calibri" w:eastAsia="Calibri" w:cs="Calibri"/>
        </w:rPr>
        <w:t>didates for</w:t>
      </w:r>
      <w:r w:rsidRPr="00D1540F">
        <w:rPr>
          <w:rFonts w:ascii="Calibri" w:hAnsi="Calibri" w:eastAsia="Calibri" w:cs="Calibri"/>
        </w:rPr>
        <w:t xml:space="preserve"> members </w:t>
      </w:r>
      <w:r w:rsidRPr="00D1540F" w:rsidR="0018557D">
        <w:rPr>
          <w:rFonts w:ascii="Calibri" w:hAnsi="Calibri" w:eastAsia="Calibri" w:cs="Calibri"/>
        </w:rPr>
        <w:t xml:space="preserve">of the SEC </w:t>
      </w:r>
      <w:r w:rsidRPr="00D1540F">
        <w:rPr>
          <w:rFonts w:ascii="Calibri" w:hAnsi="Calibri" w:eastAsia="Calibri" w:cs="Calibri"/>
        </w:rPr>
        <w:t>should have a Bachelor's degree in Social Sciences, at least 10 years of working experience in the profession, as well as a good knowledge of</w:t>
      </w:r>
      <w:r w:rsidRPr="00D1540F" w:rsidR="0018557D">
        <w:rPr>
          <w:rFonts w:ascii="Calibri" w:hAnsi="Calibri" w:eastAsia="Calibri" w:cs="Calibri"/>
        </w:rPr>
        <w:t xml:space="preserve"> the electoral system/election</w:t>
      </w:r>
      <w:r w:rsidRPr="00D1540F">
        <w:rPr>
          <w:rFonts w:ascii="Calibri" w:hAnsi="Calibri" w:eastAsia="Calibri" w:cs="Calibri"/>
        </w:rPr>
        <w:t xml:space="preserve"> statistics. In terms of impartiality, it should be stipulated that a </w:t>
      </w:r>
      <w:r w:rsidRPr="00D1540F" w:rsidR="0018557D">
        <w:rPr>
          <w:rFonts w:ascii="Calibri" w:hAnsi="Calibri" w:eastAsia="Calibri" w:cs="Calibri"/>
        </w:rPr>
        <w:t>SEC</w:t>
      </w:r>
      <w:r w:rsidRPr="00D1540F">
        <w:rPr>
          <w:rFonts w:ascii="Calibri" w:hAnsi="Calibri" w:eastAsia="Calibri" w:cs="Calibri"/>
        </w:rPr>
        <w:t xml:space="preserve"> member </w:t>
      </w:r>
      <w:r w:rsidRPr="00D1540F" w:rsidR="0018557D">
        <w:rPr>
          <w:rFonts w:ascii="Calibri" w:hAnsi="Calibri" w:eastAsia="Calibri" w:cs="Calibri"/>
        </w:rPr>
        <w:t>must</w:t>
      </w:r>
      <w:r w:rsidRPr="00D1540F">
        <w:rPr>
          <w:rFonts w:ascii="Calibri" w:hAnsi="Calibri" w:eastAsia="Calibri" w:cs="Calibri"/>
        </w:rPr>
        <w:t xml:space="preserve"> not be a member or activist</w:t>
      </w:r>
      <w:r w:rsidRPr="00D1540F" w:rsidR="0018557D">
        <w:rPr>
          <w:rFonts w:ascii="Calibri" w:hAnsi="Calibri" w:eastAsia="Calibri" w:cs="Calibri"/>
        </w:rPr>
        <w:t xml:space="preserve"> of a political party</w:t>
      </w:r>
      <w:r w:rsidRPr="00D1540F">
        <w:rPr>
          <w:rFonts w:ascii="Calibri" w:hAnsi="Calibri" w:eastAsia="Calibri" w:cs="Calibri"/>
        </w:rPr>
        <w:t xml:space="preserve">, as well as </w:t>
      </w:r>
      <w:r w:rsidRPr="00D1540F" w:rsidR="0030480A">
        <w:rPr>
          <w:rFonts w:ascii="Calibri" w:hAnsi="Calibri" w:eastAsia="Calibri" w:cs="Calibri"/>
        </w:rPr>
        <w:t xml:space="preserve">a member of a political party body or a candidate on a political party list </w:t>
      </w:r>
      <w:r w:rsidRPr="00D1540F">
        <w:rPr>
          <w:rFonts w:ascii="Calibri" w:hAnsi="Calibri" w:eastAsia="Calibri" w:cs="Calibri"/>
        </w:rPr>
        <w:t xml:space="preserve">in a period of five years. </w:t>
      </w:r>
      <w:r w:rsidRPr="00D1540F" w:rsidR="0018557D">
        <w:rPr>
          <w:rFonts w:ascii="Calibri" w:hAnsi="Calibri" w:eastAsia="Calibri" w:cs="Calibri"/>
        </w:rPr>
        <w:t>Furthermore</w:t>
      </w:r>
      <w:r w:rsidRPr="00D1540F">
        <w:rPr>
          <w:rFonts w:ascii="Calibri" w:hAnsi="Calibri" w:eastAsia="Calibri" w:cs="Calibri"/>
        </w:rPr>
        <w:t xml:space="preserve">, special attention should be paid to the possibility of conflict of interest, and prevent people </w:t>
      </w:r>
      <w:r w:rsidRPr="00D1540F" w:rsidR="0018557D">
        <w:rPr>
          <w:rFonts w:ascii="Calibri" w:hAnsi="Calibri" w:eastAsia="Calibri" w:cs="Calibri"/>
        </w:rPr>
        <w:t>who are relatives</w:t>
      </w:r>
      <w:r w:rsidRPr="00D1540F">
        <w:rPr>
          <w:rFonts w:ascii="Calibri" w:hAnsi="Calibri" w:eastAsia="Calibri" w:cs="Calibri"/>
        </w:rPr>
        <w:t xml:space="preserve"> or </w:t>
      </w:r>
      <w:r w:rsidRPr="00D1540F" w:rsidR="0018557D">
        <w:rPr>
          <w:rFonts w:ascii="Calibri" w:hAnsi="Calibri" w:eastAsia="Calibri" w:cs="Calibri"/>
        </w:rPr>
        <w:t xml:space="preserve">have </w:t>
      </w:r>
      <w:r w:rsidRPr="00D1540F">
        <w:rPr>
          <w:rFonts w:ascii="Calibri" w:hAnsi="Calibri" w:eastAsia="Calibri" w:cs="Calibri"/>
        </w:rPr>
        <w:t>business relationships with prom</w:t>
      </w:r>
      <w:r w:rsidRPr="00D1540F" w:rsidR="0018557D">
        <w:rPr>
          <w:rFonts w:ascii="Calibri" w:hAnsi="Calibri" w:eastAsia="Calibri" w:cs="Calibri"/>
        </w:rPr>
        <w:t>inent political representatives from being elected as SEC members.</w:t>
      </w:r>
    </w:p>
    <w:p w:rsidRPr="00D1540F" w:rsidR="00BE4C6E" w:rsidP="00BE4C6E" w:rsidRDefault="00337A6F" w14:paraId="2C7C7400" w14:textId="0394136B">
      <w:pPr>
        <w:pStyle w:val="ListParagraph"/>
        <w:numPr>
          <w:ilvl w:val="0"/>
          <w:numId w:val="5"/>
        </w:numPr>
        <w:jc w:val="both"/>
        <w:rPr>
          <w:rFonts w:ascii="Calibri" w:hAnsi="Calibri" w:eastAsia="Calibri" w:cs="Calibri"/>
        </w:rPr>
      </w:pPr>
      <w:r>
        <w:rPr>
          <w:rFonts w:ascii="Calibri" w:hAnsi="Calibri" w:eastAsia="Calibri" w:cs="Calibri"/>
        </w:rPr>
        <w:lastRenderedPageBreak/>
        <w:t>R</w:t>
      </w:r>
      <w:r w:rsidRPr="00D1540F">
        <w:rPr>
          <w:rFonts w:ascii="Calibri" w:hAnsi="Calibri" w:eastAsia="Calibri" w:cs="Calibri"/>
        </w:rPr>
        <w:t>egulate</w:t>
      </w:r>
      <w:r w:rsidRPr="00D1540F">
        <w:rPr>
          <w:rFonts w:ascii="Calibri" w:hAnsi="Calibri" w:eastAsia="Calibri" w:cs="Calibri"/>
        </w:rPr>
        <w:t xml:space="preserve"> </w:t>
      </w:r>
      <w:r>
        <w:rPr>
          <w:rFonts w:ascii="Calibri" w:hAnsi="Calibri" w:eastAsia="Calibri" w:cs="Calibri"/>
        </w:rPr>
        <w:t>m</w:t>
      </w:r>
      <w:r w:rsidRPr="00D1540F" w:rsidR="00BE4C6E">
        <w:rPr>
          <w:rFonts w:ascii="Calibri" w:hAnsi="Calibri" w:eastAsia="Calibri" w:cs="Calibri"/>
        </w:rPr>
        <w:t xml:space="preserve">ore precisely the relations and responsibilities between </w:t>
      </w:r>
      <w:r w:rsidRPr="00D1540F" w:rsidR="0077318F">
        <w:rPr>
          <w:rFonts w:ascii="Calibri" w:hAnsi="Calibri" w:eastAsia="Calibri" w:cs="Calibri"/>
        </w:rPr>
        <w:t>MECs and SEC</w:t>
      </w:r>
    </w:p>
    <w:p w:rsidRPr="00D1540F" w:rsidR="00683923" w:rsidP="00683923" w:rsidRDefault="0018557D" w14:paraId="1E2C8FDC" w14:textId="6DB33E12">
      <w:pPr>
        <w:jc w:val="both"/>
        <w:rPr>
          <w:rFonts w:ascii="Calibri" w:hAnsi="Calibri" w:eastAsia="Calibri" w:cs="Calibri"/>
        </w:rPr>
      </w:pPr>
      <w:r w:rsidRPr="00D1540F">
        <w:rPr>
          <w:rFonts w:ascii="Calibri" w:hAnsi="Calibri" w:eastAsia="Calibri" w:cs="Calibri"/>
        </w:rPr>
        <w:t xml:space="preserve">It is </w:t>
      </w:r>
      <w:r w:rsidRPr="00D1540F" w:rsidR="00A77E38">
        <w:rPr>
          <w:rFonts w:ascii="Calibri" w:hAnsi="Calibri" w:eastAsia="Calibri" w:cs="Calibri"/>
        </w:rPr>
        <w:t>necessary</w:t>
      </w:r>
      <w:r w:rsidRPr="00D1540F">
        <w:rPr>
          <w:rFonts w:ascii="Calibri" w:hAnsi="Calibri" w:eastAsia="Calibri" w:cs="Calibri"/>
        </w:rPr>
        <w:t xml:space="preserve"> </w:t>
      </w:r>
      <w:r w:rsidRPr="00D1540F" w:rsidR="00683923">
        <w:rPr>
          <w:rFonts w:ascii="Calibri" w:hAnsi="Calibri" w:eastAsia="Calibri" w:cs="Calibri"/>
        </w:rPr>
        <w:t xml:space="preserve">to introduce clearer relations and more precisely regulate the scope and powers of </w:t>
      </w:r>
      <w:r w:rsidR="0097299A">
        <w:rPr>
          <w:rFonts w:ascii="Calibri" w:hAnsi="Calibri" w:eastAsia="Calibri" w:cs="Calibri"/>
        </w:rPr>
        <w:t xml:space="preserve">the </w:t>
      </w:r>
      <w:r w:rsidRPr="00D1540F">
        <w:rPr>
          <w:rFonts w:ascii="Calibri" w:hAnsi="Calibri" w:eastAsia="Calibri" w:cs="Calibri"/>
        </w:rPr>
        <w:t>SEC</w:t>
      </w:r>
      <w:r w:rsidRPr="00D1540F" w:rsidR="00683923">
        <w:rPr>
          <w:rFonts w:ascii="Calibri" w:hAnsi="Calibri" w:eastAsia="Calibri" w:cs="Calibri"/>
        </w:rPr>
        <w:t xml:space="preserve"> and </w:t>
      </w:r>
      <w:r w:rsidRPr="00D1540F">
        <w:rPr>
          <w:rFonts w:ascii="Calibri" w:hAnsi="Calibri" w:eastAsia="Calibri" w:cs="Calibri"/>
        </w:rPr>
        <w:t>MECs</w:t>
      </w:r>
      <w:r w:rsidRPr="00D1540F" w:rsidR="00683923">
        <w:rPr>
          <w:rFonts w:ascii="Calibri" w:hAnsi="Calibri" w:eastAsia="Calibri" w:cs="Calibri"/>
        </w:rPr>
        <w:t xml:space="preserve">. In this way, situations </w:t>
      </w:r>
      <w:r w:rsidRPr="0097299A" w:rsidR="009A72F7">
        <w:rPr>
          <w:rFonts w:ascii="Calibri" w:hAnsi="Calibri" w:eastAsia="Calibri" w:cs="Calibri"/>
        </w:rPr>
        <w:t>that are now common</w:t>
      </w:r>
      <w:r w:rsidR="009A72F7">
        <w:rPr>
          <w:rFonts w:ascii="Calibri" w:hAnsi="Calibri" w:eastAsia="Calibri" w:cs="Calibri"/>
        </w:rPr>
        <w:t xml:space="preserve"> and in which </w:t>
      </w:r>
      <w:r w:rsidRPr="00D1540F" w:rsidR="009A72F7">
        <w:rPr>
          <w:rFonts w:ascii="Calibri" w:hAnsi="Calibri" w:eastAsia="Calibri" w:cs="Calibri"/>
        </w:rPr>
        <w:t>no one is responsible for what is not done properly</w:t>
      </w:r>
      <w:r w:rsidRPr="0097299A" w:rsidR="009A72F7">
        <w:rPr>
          <w:rFonts w:ascii="Calibri" w:hAnsi="Calibri" w:eastAsia="Calibri" w:cs="Calibri"/>
        </w:rPr>
        <w:t xml:space="preserve"> </w:t>
      </w:r>
      <w:r w:rsidR="009A72F7">
        <w:rPr>
          <w:rFonts w:ascii="Calibri" w:hAnsi="Calibri" w:eastAsia="Calibri" w:cs="Calibri"/>
        </w:rPr>
        <w:t>would</w:t>
      </w:r>
      <w:r w:rsidRPr="0097299A" w:rsidR="0097299A">
        <w:rPr>
          <w:rFonts w:ascii="Calibri" w:hAnsi="Calibri" w:eastAsia="Calibri" w:cs="Calibri"/>
        </w:rPr>
        <w:t xml:space="preserve"> </w:t>
      </w:r>
      <w:r w:rsidR="009A72F7">
        <w:rPr>
          <w:rFonts w:ascii="Calibri" w:hAnsi="Calibri" w:eastAsia="Calibri" w:cs="Calibri"/>
        </w:rPr>
        <w:t>be avoided</w:t>
      </w:r>
      <w:r w:rsidRPr="00D1540F" w:rsidR="00683923">
        <w:rPr>
          <w:rFonts w:ascii="Calibri" w:hAnsi="Calibri" w:eastAsia="Calibri" w:cs="Calibri"/>
        </w:rPr>
        <w:t>.</w:t>
      </w:r>
    </w:p>
    <w:p w:rsidRPr="00D1540F" w:rsidR="00BE4C6E" w:rsidP="00BE4C6E" w:rsidRDefault="00BE4C6E" w14:paraId="42CA04E1" w14:textId="19BDCBDA">
      <w:pPr>
        <w:pStyle w:val="ListParagraph"/>
        <w:numPr>
          <w:ilvl w:val="0"/>
          <w:numId w:val="5"/>
        </w:numPr>
        <w:jc w:val="both"/>
      </w:pPr>
      <w:r w:rsidRPr="00D1540F">
        <w:t>Legally regulate the transparency of election administration and impose penalties for nonco</w:t>
      </w:r>
      <w:r w:rsidR="00B85BF2">
        <w:t>mpliance with this part of the L</w:t>
      </w:r>
      <w:r w:rsidRPr="00D1540F">
        <w:t>aw</w:t>
      </w:r>
    </w:p>
    <w:p w:rsidRPr="00D1540F" w:rsidR="00BE4C6E" w:rsidP="00BE4C6E" w:rsidRDefault="0018557D" w14:paraId="3DCBA0F3" w14:textId="6584549F">
      <w:pPr>
        <w:jc w:val="both"/>
      </w:pPr>
      <w:r w:rsidRPr="00D1540F">
        <w:t>The SEC</w:t>
      </w:r>
      <w:r w:rsidRPr="00D1540F" w:rsidR="00BE4C6E">
        <w:t xml:space="preserve"> must reach high standards of transparency in order to increase </w:t>
      </w:r>
      <w:r w:rsidRPr="00D1540F">
        <w:t>trust</w:t>
      </w:r>
      <w:r w:rsidRPr="00D1540F" w:rsidR="00BE4C6E">
        <w:t xml:space="preserve"> in the elections and remove doubts about the regularity of the election process.</w:t>
      </w:r>
    </w:p>
    <w:p w:rsidRPr="00D1540F" w:rsidR="00BE4C6E" w:rsidP="00BE4C6E" w:rsidRDefault="00BE4C6E" w14:paraId="47EA54C2" w14:textId="1C8EE8E6">
      <w:pPr>
        <w:jc w:val="both"/>
      </w:pPr>
      <w:r w:rsidRPr="00D1540F">
        <w:t xml:space="preserve">Therefore, all these principles should be regulated by law and </w:t>
      </w:r>
      <w:r w:rsidR="002E25C8">
        <w:t>precise penalties for non</w:t>
      </w:r>
      <w:r w:rsidRPr="00D1540F" w:rsidR="0018557D">
        <w:t xml:space="preserve">compliance with these legal provisions should be </w:t>
      </w:r>
      <w:r w:rsidRPr="00D1540F">
        <w:t>introduced.</w:t>
      </w:r>
    </w:p>
    <w:p w:rsidRPr="00D1540F" w:rsidR="00BE4C6E" w:rsidP="00BE4C6E" w:rsidRDefault="00BE4C6E" w14:paraId="2689AB48" w14:textId="1CB69D84">
      <w:pPr>
        <w:pStyle w:val="ListParagraph"/>
        <w:numPr>
          <w:ilvl w:val="0"/>
          <w:numId w:val="5"/>
        </w:numPr>
        <w:jc w:val="both"/>
      </w:pPr>
      <w:r w:rsidRPr="00D1540F">
        <w:t xml:space="preserve">Expand competencies </w:t>
      </w:r>
      <w:r w:rsidRPr="00D1540F" w:rsidR="0077318F">
        <w:t xml:space="preserve">of the SEC </w:t>
      </w:r>
      <w:r w:rsidRPr="00D1540F">
        <w:t>in terms of performing tasks related to the continuous improvement of the electoral system</w:t>
      </w:r>
    </w:p>
    <w:p w:rsidRPr="00D1540F" w:rsidR="00683923" w:rsidP="00683923" w:rsidRDefault="0018557D" w14:paraId="5B7AE7E7" w14:textId="2019E2F2">
      <w:pPr>
        <w:jc w:val="both"/>
      </w:pPr>
      <w:r w:rsidRPr="00D1540F">
        <w:t>E</w:t>
      </w:r>
      <w:r w:rsidRPr="00D1540F" w:rsidR="00683923">
        <w:t xml:space="preserve">stablishment of a professional, expert </w:t>
      </w:r>
      <w:r w:rsidRPr="00D1540F">
        <w:t xml:space="preserve">SEC should be followed by </w:t>
      </w:r>
      <w:r w:rsidRPr="00D1540F" w:rsidR="00683923">
        <w:t xml:space="preserve">introduction of new responsibilities and obligations for </w:t>
      </w:r>
      <w:r w:rsidRPr="00D1540F">
        <w:t>the SEC, which this institution would</w:t>
      </w:r>
      <w:r w:rsidRPr="00D1540F" w:rsidR="00683923">
        <w:t xml:space="preserve"> carry out on a continuous basis, even in the periods between the elections.</w:t>
      </w:r>
    </w:p>
    <w:p w:rsidRPr="00D1540F" w:rsidR="00BE4C6E" w:rsidP="00BE4C6E" w:rsidRDefault="00001F00" w14:paraId="7D493769" w14:textId="70205227">
      <w:pPr>
        <w:jc w:val="both"/>
        <w:rPr>
          <w:rFonts w:ascii="Calibri" w:hAnsi="Calibri" w:eastAsia="Calibri" w:cs="Calibri"/>
        </w:rPr>
      </w:pPr>
      <w:r w:rsidRPr="00D1540F">
        <w:rPr>
          <w:rFonts w:ascii="Calibri" w:hAnsi="Calibri" w:eastAsia="Calibri" w:cs="Calibri"/>
        </w:rPr>
        <w:t>It is necessary to prescribe an</w:t>
      </w:r>
      <w:r w:rsidRPr="00D1540F" w:rsidR="00BE4C6E">
        <w:rPr>
          <w:rFonts w:ascii="Calibri" w:hAnsi="Calibri" w:eastAsia="Calibri" w:cs="Calibri"/>
        </w:rPr>
        <w:t xml:space="preserve"> obligation</w:t>
      </w:r>
      <w:r w:rsidRPr="00D1540F">
        <w:rPr>
          <w:rFonts w:ascii="Calibri" w:hAnsi="Calibri" w:eastAsia="Calibri" w:cs="Calibri"/>
        </w:rPr>
        <w:t xml:space="preserve"> for the SEC</w:t>
      </w:r>
      <w:r w:rsidRPr="00D1540F" w:rsidR="00BE4C6E">
        <w:rPr>
          <w:rFonts w:ascii="Calibri" w:hAnsi="Calibri" w:eastAsia="Calibri" w:cs="Calibri"/>
        </w:rPr>
        <w:t xml:space="preserve"> to prepare annual work plans and </w:t>
      </w:r>
      <w:r w:rsidRPr="00D1540F">
        <w:rPr>
          <w:rFonts w:ascii="Calibri" w:hAnsi="Calibri" w:eastAsia="Calibri" w:cs="Calibri"/>
        </w:rPr>
        <w:t>submit an annual work report for discussion and adoption in</w:t>
      </w:r>
      <w:r w:rsidRPr="00D1540F" w:rsidR="00BE4C6E">
        <w:rPr>
          <w:rFonts w:ascii="Calibri" w:hAnsi="Calibri" w:eastAsia="Calibri" w:cs="Calibri"/>
        </w:rPr>
        <w:t xml:space="preserve"> the</w:t>
      </w:r>
      <w:r w:rsidRPr="00D1540F">
        <w:rPr>
          <w:rFonts w:ascii="Calibri" w:hAnsi="Calibri" w:eastAsia="Calibri" w:cs="Calibri"/>
        </w:rPr>
        <w:t xml:space="preserve"> Parliament </w:t>
      </w:r>
      <w:r w:rsidRPr="00D1540F" w:rsidR="00BE4C6E">
        <w:rPr>
          <w:rFonts w:ascii="Calibri" w:hAnsi="Calibri" w:eastAsia="Calibri" w:cs="Calibri"/>
        </w:rPr>
        <w:t xml:space="preserve">of Montenegro. Some of the obligations to be prescribed for </w:t>
      </w:r>
      <w:r w:rsidRPr="00D1540F">
        <w:rPr>
          <w:rFonts w:ascii="Calibri" w:hAnsi="Calibri" w:eastAsia="Calibri" w:cs="Calibri"/>
        </w:rPr>
        <w:t>the SEC</w:t>
      </w:r>
      <w:r w:rsidRPr="00D1540F" w:rsidR="00BE4C6E">
        <w:rPr>
          <w:rFonts w:ascii="Calibri" w:hAnsi="Calibri" w:eastAsia="Calibri" w:cs="Calibri"/>
        </w:rPr>
        <w:t xml:space="preserve"> are</w:t>
      </w:r>
      <w:r w:rsidRPr="00D1540F">
        <w:rPr>
          <w:rFonts w:ascii="Calibri" w:hAnsi="Calibri" w:eastAsia="Calibri" w:cs="Calibri"/>
        </w:rPr>
        <w:t xml:space="preserve"> as follows</w:t>
      </w:r>
      <w:r w:rsidRPr="00D1540F" w:rsidR="00BE4C6E">
        <w:rPr>
          <w:rFonts w:ascii="Calibri" w:hAnsi="Calibri" w:eastAsia="Calibri" w:cs="Calibri"/>
        </w:rPr>
        <w:t>: education of lower level members</w:t>
      </w:r>
      <w:r w:rsidRPr="00D1540F">
        <w:rPr>
          <w:rFonts w:ascii="Calibri" w:hAnsi="Calibri" w:eastAsia="Calibri" w:cs="Calibri"/>
        </w:rPr>
        <w:t>,</w:t>
      </w:r>
      <w:r w:rsidRPr="00D1540F" w:rsidR="00BE4C6E">
        <w:rPr>
          <w:rFonts w:ascii="Calibri" w:hAnsi="Calibri" w:eastAsia="Calibri" w:cs="Calibri"/>
        </w:rPr>
        <w:t xml:space="preserve"> election</w:t>
      </w:r>
      <w:r w:rsidRPr="00D1540F">
        <w:rPr>
          <w:rFonts w:ascii="Calibri" w:hAnsi="Calibri" w:eastAsia="Calibri" w:cs="Calibri"/>
        </w:rPr>
        <w:t xml:space="preserve"> bodies</w:t>
      </w:r>
      <w:r w:rsidRPr="00D1540F" w:rsidR="00BE4C6E">
        <w:rPr>
          <w:rFonts w:ascii="Calibri" w:hAnsi="Calibri" w:eastAsia="Calibri" w:cs="Calibri"/>
        </w:rPr>
        <w:t xml:space="preserve">, media, NGOs and citizens; election and appointment of members of the </w:t>
      </w:r>
      <w:r w:rsidRPr="00D1540F">
        <w:rPr>
          <w:rFonts w:ascii="Calibri" w:hAnsi="Calibri" w:eastAsia="Calibri" w:cs="Calibri"/>
        </w:rPr>
        <w:t>polling boards</w:t>
      </w:r>
      <w:r w:rsidRPr="00D1540F" w:rsidR="00BE4C6E">
        <w:rPr>
          <w:rFonts w:ascii="Calibri" w:hAnsi="Calibri" w:eastAsia="Calibri" w:cs="Calibri"/>
        </w:rPr>
        <w:t>;</w:t>
      </w:r>
      <w:r w:rsidRPr="00D1540F">
        <w:rPr>
          <w:rFonts w:ascii="Calibri" w:hAnsi="Calibri" w:eastAsia="Calibri" w:cs="Calibri"/>
        </w:rPr>
        <w:t xml:space="preserve"> obligation to initiate</w:t>
      </w:r>
      <w:r w:rsidRPr="00D1540F" w:rsidR="00BE4C6E">
        <w:rPr>
          <w:rFonts w:ascii="Calibri" w:hAnsi="Calibri" w:eastAsia="Calibri" w:cs="Calibri"/>
        </w:rPr>
        <w:t xml:space="preserve"> </w:t>
      </w:r>
      <w:r w:rsidR="002E25C8">
        <w:rPr>
          <w:rFonts w:ascii="Calibri" w:hAnsi="Calibri" w:eastAsia="Calibri" w:cs="Calibri"/>
        </w:rPr>
        <w:t>improvement</w:t>
      </w:r>
      <w:r w:rsidRPr="00D1540F" w:rsidR="00BE4C6E">
        <w:rPr>
          <w:rFonts w:ascii="Calibri" w:hAnsi="Calibri" w:eastAsia="Calibri" w:cs="Calibri"/>
        </w:rPr>
        <w:t xml:space="preserve"> of electoral legislation </w:t>
      </w:r>
      <w:r w:rsidRPr="00D1540F">
        <w:rPr>
          <w:rFonts w:ascii="Calibri" w:hAnsi="Calibri" w:eastAsia="Calibri" w:cs="Calibri"/>
        </w:rPr>
        <w:t>if necessary;</w:t>
      </w:r>
      <w:r w:rsidRPr="00D1540F" w:rsidR="00BE4C6E">
        <w:rPr>
          <w:rFonts w:ascii="Calibri" w:hAnsi="Calibri" w:eastAsia="Calibri" w:cs="Calibri"/>
        </w:rPr>
        <w:t xml:space="preserve"> educati</w:t>
      </w:r>
      <w:r w:rsidR="00B85BF2">
        <w:rPr>
          <w:rFonts w:ascii="Calibri" w:hAnsi="Calibri" w:eastAsia="Calibri" w:cs="Calibri"/>
        </w:rPr>
        <w:t xml:space="preserve">ng </w:t>
      </w:r>
      <w:r w:rsidRPr="00D1540F" w:rsidR="00BE4C6E">
        <w:rPr>
          <w:rFonts w:ascii="Calibri" w:hAnsi="Calibri" w:eastAsia="Calibri" w:cs="Calibri"/>
        </w:rPr>
        <w:t>and inform</w:t>
      </w:r>
      <w:r w:rsidR="00B85BF2">
        <w:rPr>
          <w:rFonts w:ascii="Calibri" w:hAnsi="Calibri" w:eastAsia="Calibri" w:cs="Calibri"/>
        </w:rPr>
        <w:t>ing</w:t>
      </w:r>
      <w:r w:rsidRPr="00D1540F">
        <w:rPr>
          <w:rFonts w:ascii="Calibri" w:hAnsi="Calibri" w:eastAsia="Calibri" w:cs="Calibri"/>
        </w:rPr>
        <w:t xml:space="preserve"> citizens o</w:t>
      </w:r>
      <w:r w:rsidRPr="00D1540F" w:rsidR="00BE4C6E">
        <w:rPr>
          <w:rFonts w:ascii="Calibri" w:hAnsi="Calibri" w:eastAsia="Calibri" w:cs="Calibri"/>
        </w:rPr>
        <w:t xml:space="preserve">n elections and the right to vote; development of its own capacities and capacity of employees; </w:t>
      </w:r>
      <w:r w:rsidRPr="00B85BF2" w:rsidR="00B85BF2">
        <w:rPr>
          <w:rFonts w:ascii="Calibri" w:hAnsi="Calibri" w:eastAsia="Calibri" w:cs="Calibri"/>
        </w:rPr>
        <w:t>preparing</w:t>
      </w:r>
      <w:r w:rsidRPr="00B85BF2" w:rsidR="00BE4C6E">
        <w:rPr>
          <w:rFonts w:ascii="Calibri" w:hAnsi="Calibri" w:eastAsia="Calibri" w:cs="Calibri"/>
        </w:rPr>
        <w:t xml:space="preserve"> professional</w:t>
      </w:r>
      <w:r w:rsidRPr="00D1540F" w:rsidR="00BE4C6E">
        <w:rPr>
          <w:rFonts w:ascii="Calibri" w:hAnsi="Calibri" w:eastAsia="Calibri" w:cs="Calibri"/>
        </w:rPr>
        <w:t xml:space="preserve"> publications, improvement of technical aspects of </w:t>
      </w:r>
      <w:r w:rsidRPr="00D1540F">
        <w:rPr>
          <w:rFonts w:ascii="Calibri" w:hAnsi="Calibri" w:eastAsia="Calibri" w:cs="Calibri"/>
        </w:rPr>
        <w:t>elections by</w:t>
      </w:r>
      <w:r w:rsidRPr="00D1540F" w:rsidR="00BE4C6E">
        <w:rPr>
          <w:rFonts w:ascii="Calibri" w:hAnsi="Calibri" w:eastAsia="Calibri" w:cs="Calibri"/>
        </w:rPr>
        <w:t xml:space="preserve"> introduc</w:t>
      </w:r>
      <w:r w:rsidRPr="00D1540F">
        <w:rPr>
          <w:rFonts w:ascii="Calibri" w:hAnsi="Calibri" w:eastAsia="Calibri" w:cs="Calibri"/>
        </w:rPr>
        <w:t>ing</w:t>
      </w:r>
      <w:r w:rsidRPr="00D1540F" w:rsidR="00BE4C6E">
        <w:rPr>
          <w:rFonts w:ascii="Calibri" w:hAnsi="Calibri" w:eastAsia="Calibri" w:cs="Calibri"/>
        </w:rPr>
        <w:t xml:space="preserve"> new technologies ...</w:t>
      </w:r>
    </w:p>
    <w:p w:rsidRPr="00D1540F" w:rsidR="00683923" w:rsidP="00683923" w:rsidRDefault="006A5FFD" w14:paraId="3059967F" w14:textId="64134E27">
      <w:pPr>
        <w:jc w:val="both"/>
        <w:rPr>
          <w:rFonts w:ascii="Calibri" w:hAnsi="Calibri" w:eastAsia="Calibri" w:cs="Calibri"/>
        </w:rPr>
      </w:pPr>
      <w:r w:rsidRPr="00D1540F">
        <w:rPr>
          <w:rFonts w:ascii="Calibri" w:hAnsi="Calibri" w:eastAsia="Calibri" w:cs="Calibri"/>
        </w:rPr>
        <w:t>This work</w:t>
      </w:r>
      <w:r w:rsidRPr="00D1540F" w:rsidR="00683923">
        <w:rPr>
          <w:rFonts w:ascii="Calibri" w:hAnsi="Calibri" w:eastAsia="Calibri" w:cs="Calibri"/>
        </w:rPr>
        <w:t xml:space="preserve"> should </w:t>
      </w:r>
      <w:r w:rsidRPr="00D1540F">
        <w:rPr>
          <w:rFonts w:ascii="Calibri" w:hAnsi="Calibri" w:eastAsia="Calibri" w:cs="Calibri"/>
        </w:rPr>
        <w:t>be</w:t>
      </w:r>
      <w:r w:rsidRPr="00D1540F" w:rsidR="00683923">
        <w:rPr>
          <w:rFonts w:ascii="Calibri" w:hAnsi="Calibri" w:eastAsia="Calibri" w:cs="Calibri"/>
        </w:rPr>
        <w:t xml:space="preserve"> completed </w:t>
      </w:r>
      <w:r w:rsidRPr="00D1540F" w:rsidR="00683923">
        <w:rPr>
          <w:rFonts w:ascii="Calibri" w:hAnsi="Calibri" w:eastAsia="Calibri" w:cs="Calibri"/>
          <w:b/>
        </w:rPr>
        <w:t xml:space="preserve">by the end of the Spring </w:t>
      </w:r>
      <w:r w:rsidRPr="00D1540F" w:rsidR="00FF0FAE">
        <w:rPr>
          <w:rFonts w:ascii="Calibri" w:hAnsi="Calibri" w:eastAsia="Calibri" w:cs="Calibri"/>
          <w:b/>
        </w:rPr>
        <w:t>Session of the Parliament</w:t>
      </w:r>
      <w:r w:rsidRPr="00D1540F" w:rsidR="00683923">
        <w:rPr>
          <w:rFonts w:ascii="Calibri" w:hAnsi="Calibri" w:eastAsia="Calibri" w:cs="Calibri"/>
          <w:b/>
        </w:rPr>
        <w:t xml:space="preserve"> in 2019 at the latest.</w:t>
      </w:r>
    </w:p>
    <w:p w:rsidRPr="00D1540F" w:rsidR="00BE4C6E" w:rsidP="00BE4C6E" w:rsidRDefault="0077318F" w14:paraId="01205BEA" w14:textId="3EB0F021">
      <w:pPr>
        <w:jc w:val="both"/>
        <w:rPr>
          <w:rFonts w:ascii="Calibri" w:hAnsi="Calibri" w:eastAsia="Calibri" w:cs="Calibri"/>
          <w:b/>
          <w:bCs/>
        </w:rPr>
      </w:pPr>
      <w:r w:rsidRPr="00D1540F">
        <w:rPr>
          <w:rFonts w:ascii="Calibri" w:hAnsi="Calibri" w:eastAsia="Calibri" w:cs="Calibri"/>
          <w:b/>
          <w:bCs/>
        </w:rPr>
        <w:t>P</w:t>
      </w:r>
      <w:r w:rsidRPr="00D1540F" w:rsidR="00BE4C6E">
        <w:rPr>
          <w:rFonts w:ascii="Calibri" w:hAnsi="Calibri" w:eastAsia="Calibri" w:cs="Calibri"/>
          <w:b/>
          <w:bCs/>
        </w:rPr>
        <w:t>lan the associated budget funds</w:t>
      </w:r>
      <w:r w:rsidRPr="00D1540F">
        <w:rPr>
          <w:rFonts w:ascii="Calibri" w:hAnsi="Calibri" w:eastAsia="Calibri" w:cs="Calibri"/>
          <w:b/>
          <w:bCs/>
        </w:rPr>
        <w:t xml:space="preserve"> in a timely manner</w:t>
      </w:r>
    </w:p>
    <w:p w:rsidRPr="00D1540F" w:rsidR="00BE4C6E" w:rsidP="00BE4C6E" w:rsidRDefault="00BE4C6E" w14:paraId="314C3D68" w14:textId="14B9F44E">
      <w:pPr>
        <w:jc w:val="both"/>
        <w:rPr>
          <w:rFonts w:ascii="Calibri" w:hAnsi="Calibri" w:eastAsia="Calibri" w:cs="Calibri"/>
          <w:bCs/>
        </w:rPr>
      </w:pPr>
      <w:r w:rsidRPr="00D1540F">
        <w:rPr>
          <w:rFonts w:ascii="Calibri" w:hAnsi="Calibri" w:eastAsia="Calibri" w:cs="Calibri"/>
          <w:bCs/>
        </w:rPr>
        <w:t xml:space="preserve">When discussing the mode of operation and </w:t>
      </w:r>
      <w:r w:rsidRPr="00D1540F" w:rsidR="00FF0FAE">
        <w:rPr>
          <w:rFonts w:ascii="Calibri" w:hAnsi="Calibri" w:eastAsia="Calibri" w:cs="Calibri"/>
          <w:bCs/>
        </w:rPr>
        <w:t>organization</w:t>
      </w:r>
      <w:r w:rsidRPr="00D1540F">
        <w:rPr>
          <w:rFonts w:ascii="Calibri" w:hAnsi="Calibri" w:eastAsia="Calibri" w:cs="Calibri"/>
          <w:bCs/>
        </w:rPr>
        <w:t xml:space="preserve"> of the </w:t>
      </w:r>
      <w:r w:rsidRPr="00D1540F" w:rsidR="00FF0FAE">
        <w:rPr>
          <w:rFonts w:ascii="Calibri" w:hAnsi="Calibri" w:eastAsia="Calibri" w:cs="Calibri"/>
          <w:bCs/>
        </w:rPr>
        <w:t>SEC</w:t>
      </w:r>
      <w:r w:rsidRPr="00D1540F">
        <w:rPr>
          <w:rFonts w:ascii="Calibri" w:hAnsi="Calibri" w:eastAsia="Calibri" w:cs="Calibri"/>
          <w:bCs/>
        </w:rPr>
        <w:t xml:space="preserve">, it is necessary to take into account that </w:t>
      </w:r>
      <w:r w:rsidRPr="00D1540F" w:rsidR="00FF0FAE">
        <w:rPr>
          <w:rFonts w:ascii="Calibri" w:hAnsi="Calibri" w:eastAsia="Calibri" w:cs="Calibri"/>
          <w:bCs/>
        </w:rPr>
        <w:t>the necessary financial resources for</w:t>
      </w:r>
      <w:r w:rsidRPr="00D1540F">
        <w:rPr>
          <w:rFonts w:ascii="Calibri" w:hAnsi="Calibri" w:eastAsia="Calibri" w:cs="Calibri"/>
          <w:bCs/>
        </w:rPr>
        <w:t xml:space="preserve"> 2019</w:t>
      </w:r>
      <w:r w:rsidRPr="00D1540F" w:rsidR="00FF0FAE">
        <w:rPr>
          <w:rFonts w:ascii="Calibri" w:hAnsi="Calibri" w:eastAsia="Calibri" w:cs="Calibri"/>
          <w:bCs/>
        </w:rPr>
        <w:t xml:space="preserve"> should be planned in</w:t>
      </w:r>
      <w:r w:rsidRPr="00D1540F">
        <w:rPr>
          <w:rFonts w:ascii="Calibri" w:hAnsi="Calibri" w:eastAsia="Calibri" w:cs="Calibri"/>
          <w:bCs/>
        </w:rPr>
        <w:t xml:space="preserve"> the </w:t>
      </w:r>
      <w:r w:rsidRPr="00D1540F" w:rsidR="00FF0FAE">
        <w:rPr>
          <w:rFonts w:ascii="Calibri" w:hAnsi="Calibri" w:eastAsia="Calibri" w:cs="Calibri"/>
          <w:bCs/>
        </w:rPr>
        <w:t xml:space="preserve">budgetary reserve </w:t>
      </w:r>
      <w:r w:rsidRPr="00D1540F">
        <w:rPr>
          <w:rFonts w:ascii="Calibri" w:hAnsi="Calibri" w:eastAsia="Calibri" w:cs="Calibri"/>
          <w:bCs/>
        </w:rPr>
        <w:t xml:space="preserve">and then </w:t>
      </w:r>
      <w:r w:rsidRPr="00D1540F" w:rsidR="00FF0FAE">
        <w:rPr>
          <w:rFonts w:ascii="Calibri" w:hAnsi="Calibri" w:eastAsia="Calibri" w:cs="Calibri"/>
          <w:bCs/>
        </w:rPr>
        <w:t xml:space="preserve">also </w:t>
      </w:r>
      <w:r w:rsidRPr="00D1540F">
        <w:rPr>
          <w:rFonts w:ascii="Calibri" w:hAnsi="Calibri" w:eastAsia="Calibri" w:cs="Calibri"/>
          <w:bCs/>
        </w:rPr>
        <w:t>the necessary budgetary resources for 2020.</w:t>
      </w:r>
    </w:p>
    <w:p w:rsidRPr="00D1540F" w:rsidR="00683923" w:rsidP="00683923" w:rsidRDefault="00FF0FAE" w14:paraId="0189F15B" w14:textId="6C3CD7D2">
      <w:pPr>
        <w:jc w:val="both"/>
        <w:rPr>
          <w:rFonts w:ascii="Calibri" w:hAnsi="Calibri" w:eastAsia="Calibri" w:cs="Calibri"/>
          <w:bCs/>
        </w:rPr>
      </w:pPr>
      <w:r w:rsidRPr="00D1540F">
        <w:rPr>
          <w:rFonts w:ascii="Calibri" w:hAnsi="Calibri" w:eastAsia="Calibri" w:cs="Calibri"/>
          <w:bCs/>
        </w:rPr>
        <w:t>E</w:t>
      </w:r>
      <w:r w:rsidRPr="00D1540F" w:rsidR="00683923">
        <w:rPr>
          <w:rFonts w:ascii="Calibri" w:hAnsi="Calibri" w:eastAsia="Calibri" w:cs="Calibri"/>
          <w:bCs/>
        </w:rPr>
        <w:t xml:space="preserve">stablishment of democratic institutions requires resources, and the resources to be invested in this type of institution are negligible in relation to the positive effects of the stability of democracy and </w:t>
      </w:r>
      <w:r w:rsidRPr="00D1540F">
        <w:rPr>
          <w:rFonts w:ascii="Calibri" w:hAnsi="Calibri" w:eastAsia="Calibri" w:cs="Calibri"/>
          <w:bCs/>
        </w:rPr>
        <w:t>citizens' trust</w:t>
      </w:r>
      <w:r w:rsidRPr="00D1540F" w:rsidR="00683923">
        <w:rPr>
          <w:rFonts w:ascii="Calibri" w:hAnsi="Calibri" w:eastAsia="Calibri" w:cs="Calibri"/>
          <w:bCs/>
        </w:rPr>
        <w:t xml:space="preserve"> that this institution can create.</w:t>
      </w:r>
    </w:p>
    <w:p w:rsidRPr="00D1540F" w:rsidR="00BE4C6E" w:rsidP="00BE4C6E" w:rsidRDefault="00BE4C6E" w14:paraId="71CDBA27" w14:textId="16D39727">
      <w:pPr>
        <w:jc w:val="both"/>
        <w:rPr>
          <w:rFonts w:ascii="Calibri" w:hAnsi="Calibri" w:eastAsia="Calibri" w:cs="Calibri"/>
          <w:b/>
        </w:rPr>
      </w:pPr>
      <w:r w:rsidRPr="00D1540F">
        <w:rPr>
          <w:rFonts w:ascii="Calibri" w:hAnsi="Calibri" w:eastAsia="Calibri" w:cs="Calibri"/>
          <w:b/>
        </w:rPr>
        <w:t xml:space="preserve">Plan a period for an institution </w:t>
      </w:r>
      <w:r w:rsidRPr="00D1540F" w:rsidR="00FD0CAC">
        <w:rPr>
          <w:rFonts w:ascii="Calibri" w:hAnsi="Calibri" w:eastAsia="Calibri" w:cs="Calibri"/>
          <w:b/>
        </w:rPr>
        <w:t xml:space="preserve">to </w:t>
      </w:r>
      <w:r w:rsidRPr="00D1540F" w:rsidR="00A77E38">
        <w:rPr>
          <w:rFonts w:ascii="Calibri" w:hAnsi="Calibri" w:eastAsia="Calibri" w:cs="Calibri"/>
          <w:b/>
        </w:rPr>
        <w:t>“tune</w:t>
      </w:r>
      <w:r w:rsidRPr="00D1540F" w:rsidR="00326456">
        <w:rPr>
          <w:rFonts w:ascii="Calibri" w:hAnsi="Calibri" w:eastAsia="Calibri" w:cs="Calibri"/>
          <w:b/>
          <w:bCs/>
        </w:rPr>
        <w:t>-</w:t>
      </w:r>
      <w:r w:rsidRPr="00D1540F" w:rsidR="00326456">
        <w:rPr>
          <w:rFonts w:ascii="Calibri" w:hAnsi="Calibri" w:eastAsia="Calibri" w:cs="Calibri"/>
          <w:b/>
        </w:rPr>
        <w:t xml:space="preserve">up" </w:t>
      </w:r>
      <w:r w:rsidRPr="00D1540F" w:rsidR="00A65134">
        <w:rPr>
          <w:rFonts w:ascii="Calibri" w:hAnsi="Calibri" w:eastAsia="Calibri" w:cs="Calibri"/>
          <w:b/>
        </w:rPr>
        <w:t>at least</w:t>
      </w:r>
      <w:r w:rsidRPr="00D1540F">
        <w:rPr>
          <w:rFonts w:ascii="Calibri" w:hAnsi="Calibri" w:eastAsia="Calibri" w:cs="Calibri"/>
          <w:b/>
        </w:rPr>
        <w:t xml:space="preserve"> 12 months before the election</w:t>
      </w:r>
      <w:r w:rsidRPr="00D1540F" w:rsidR="00A65134">
        <w:rPr>
          <w:rFonts w:ascii="Calibri" w:hAnsi="Calibri" w:eastAsia="Calibri" w:cs="Calibri"/>
          <w:b/>
        </w:rPr>
        <w:t>s</w:t>
      </w:r>
    </w:p>
    <w:p w:rsidRPr="00D1540F" w:rsidR="00BE4C6E" w:rsidP="00BE4C6E" w:rsidRDefault="00BE4C6E" w14:paraId="72417F99" w14:textId="14B674D3">
      <w:pPr>
        <w:jc w:val="both"/>
        <w:rPr>
          <w:rFonts w:ascii="Calibri" w:hAnsi="Calibri" w:eastAsia="Calibri" w:cs="Calibri"/>
        </w:rPr>
      </w:pPr>
      <w:r w:rsidRPr="00D1540F">
        <w:rPr>
          <w:rFonts w:ascii="Calibri" w:hAnsi="Calibri" w:eastAsia="Calibri" w:cs="Calibri"/>
        </w:rPr>
        <w:t xml:space="preserve">Assuming that regular parliamentary elections are scheduled for October 2020, the new </w:t>
      </w:r>
      <w:r w:rsidRPr="00D1540F" w:rsidR="00326456">
        <w:rPr>
          <w:rFonts w:ascii="Calibri" w:hAnsi="Calibri" w:eastAsia="Calibri" w:cs="Calibri"/>
        </w:rPr>
        <w:t xml:space="preserve">SEC </w:t>
      </w:r>
      <w:r w:rsidRPr="00D1540F">
        <w:rPr>
          <w:rFonts w:ascii="Calibri" w:hAnsi="Calibri" w:eastAsia="Calibri" w:cs="Calibri"/>
        </w:rPr>
        <w:t>should start working from October 2019 at the latest.</w:t>
      </w:r>
    </w:p>
    <w:p w:rsidRPr="00D1540F" w:rsidR="00BE4C6E" w:rsidP="00BE4C6E" w:rsidRDefault="00326456" w14:paraId="21C098BC" w14:textId="78010481">
      <w:pPr>
        <w:jc w:val="both"/>
        <w:rPr>
          <w:rFonts w:ascii="Calibri" w:hAnsi="Calibri" w:eastAsia="Calibri" w:cs="Calibri"/>
        </w:rPr>
      </w:pPr>
      <w:r w:rsidRPr="00D1540F">
        <w:rPr>
          <w:rFonts w:ascii="Calibri" w:hAnsi="Calibri" w:eastAsia="Calibri" w:cs="Calibri"/>
        </w:rPr>
        <w:t>Per</w:t>
      </w:r>
      <w:r w:rsidRPr="00D1540F" w:rsidR="00BE4C6E">
        <w:rPr>
          <w:rFonts w:ascii="Calibri" w:hAnsi="Calibri" w:eastAsia="Calibri" w:cs="Calibri"/>
        </w:rPr>
        <w:t>i</w:t>
      </w:r>
      <w:r w:rsidRPr="00D1540F">
        <w:rPr>
          <w:rFonts w:ascii="Calibri" w:hAnsi="Calibri" w:eastAsia="Calibri" w:cs="Calibri"/>
        </w:rPr>
        <w:t>od since adoption of the Law (</w:t>
      </w:r>
      <w:r w:rsidRPr="00D1540F" w:rsidR="001A0A1C">
        <w:rPr>
          <w:rFonts w:ascii="Calibri" w:hAnsi="Calibri" w:eastAsia="Calibri" w:cs="Calibri"/>
        </w:rPr>
        <w:t>s</w:t>
      </w:r>
      <w:r w:rsidRPr="00D1540F" w:rsidR="00BE4C6E">
        <w:rPr>
          <w:rFonts w:ascii="Calibri" w:hAnsi="Calibri" w:eastAsia="Calibri" w:cs="Calibri"/>
        </w:rPr>
        <w:t xml:space="preserve">pring 2019) </w:t>
      </w:r>
      <w:r w:rsidRPr="002E25C8" w:rsidR="00BE4C6E">
        <w:rPr>
          <w:rFonts w:ascii="Calibri" w:hAnsi="Calibri" w:eastAsia="Calibri" w:cs="Calibri"/>
          <w:b/>
        </w:rPr>
        <w:t>u</w:t>
      </w:r>
      <w:r w:rsidRPr="00D1540F" w:rsidR="00BE4C6E">
        <w:rPr>
          <w:rFonts w:ascii="Calibri" w:hAnsi="Calibri" w:eastAsia="Calibri" w:cs="Calibri"/>
          <w:b/>
        </w:rPr>
        <w:t xml:space="preserve">ntil the beginning of the </w:t>
      </w:r>
      <w:r w:rsidR="00B85BF2">
        <w:rPr>
          <w:rFonts w:ascii="Calibri" w:hAnsi="Calibri" w:eastAsia="Calibri" w:cs="Calibri"/>
          <w:b/>
        </w:rPr>
        <w:t xml:space="preserve">work of the </w:t>
      </w:r>
      <w:r w:rsidRPr="00D1540F" w:rsidR="00BE4C6E">
        <w:rPr>
          <w:rFonts w:ascii="Calibri" w:hAnsi="Calibri" w:eastAsia="Calibri" w:cs="Calibri"/>
          <w:b/>
        </w:rPr>
        <w:t>institution (October 2019)</w:t>
      </w:r>
      <w:r w:rsidRPr="00D1540F" w:rsidR="00BE4C6E">
        <w:rPr>
          <w:rFonts w:ascii="Calibri" w:hAnsi="Calibri" w:eastAsia="Calibri" w:cs="Calibri"/>
        </w:rPr>
        <w:t xml:space="preserve"> would be used for election and appointment of new members of the </w:t>
      </w:r>
      <w:r w:rsidRPr="00D1540F" w:rsidR="001A0A1C">
        <w:rPr>
          <w:rFonts w:ascii="Calibri" w:hAnsi="Calibri" w:eastAsia="Calibri" w:cs="Calibri"/>
        </w:rPr>
        <w:t>SEC</w:t>
      </w:r>
      <w:r w:rsidRPr="00D1540F" w:rsidR="00BE4C6E">
        <w:rPr>
          <w:rFonts w:ascii="Calibri" w:hAnsi="Calibri" w:eastAsia="Calibri" w:cs="Calibri"/>
        </w:rPr>
        <w:t xml:space="preserve">, preparation of </w:t>
      </w:r>
      <w:r w:rsidRPr="00D1540F" w:rsidR="00BE4C6E">
        <w:rPr>
          <w:rFonts w:ascii="Calibri" w:hAnsi="Calibri" w:eastAsia="Calibri" w:cs="Calibri"/>
        </w:rPr>
        <w:lastRenderedPageBreak/>
        <w:t xml:space="preserve">bylaws, </w:t>
      </w:r>
      <w:r w:rsidRPr="00D1540F" w:rsidR="001A0A1C">
        <w:rPr>
          <w:rFonts w:ascii="Calibri" w:hAnsi="Calibri" w:eastAsia="Calibri" w:cs="Calibri"/>
        </w:rPr>
        <w:t>rules of procedure and</w:t>
      </w:r>
      <w:r w:rsidRPr="00D1540F" w:rsidR="00BE4C6E">
        <w:rPr>
          <w:rFonts w:ascii="Calibri" w:hAnsi="Calibri" w:eastAsia="Calibri" w:cs="Calibri"/>
        </w:rPr>
        <w:t xml:space="preserve"> annual </w:t>
      </w:r>
      <w:r w:rsidRPr="00D1540F" w:rsidR="001A0A1C">
        <w:rPr>
          <w:rFonts w:ascii="Calibri" w:hAnsi="Calibri" w:eastAsia="Calibri" w:cs="Calibri"/>
        </w:rPr>
        <w:t>work plan. The</w:t>
      </w:r>
      <w:r w:rsidRPr="00D1540F" w:rsidR="00BE4C6E">
        <w:rPr>
          <w:rFonts w:ascii="Calibri" w:hAnsi="Calibri" w:eastAsia="Calibri" w:cs="Calibri"/>
        </w:rPr>
        <w:t xml:space="preserve"> new institution would take</w:t>
      </w:r>
      <w:r w:rsidRPr="00D1540F" w:rsidR="001A0A1C">
        <w:rPr>
          <w:rFonts w:ascii="Calibri" w:hAnsi="Calibri" w:eastAsia="Calibri" w:cs="Calibri"/>
        </w:rPr>
        <w:t xml:space="preserve"> over</w:t>
      </w:r>
      <w:r w:rsidRPr="00D1540F" w:rsidR="00BE4C6E">
        <w:rPr>
          <w:rFonts w:ascii="Calibri" w:hAnsi="Calibri" w:eastAsia="Calibri" w:cs="Calibri"/>
        </w:rPr>
        <w:t xml:space="preserve"> employees from the old institution but also engage new ones, depending on the need.</w:t>
      </w:r>
    </w:p>
    <w:p w:rsidRPr="00D1540F" w:rsidR="00683923" w:rsidP="00683923" w:rsidRDefault="00683923" w14:paraId="0B0B3852" w14:textId="4D44F18B">
      <w:pPr>
        <w:jc w:val="both"/>
        <w:rPr>
          <w:rFonts w:ascii="Calibri" w:hAnsi="Calibri" w:eastAsia="Calibri" w:cs="Calibri"/>
        </w:rPr>
      </w:pPr>
      <w:r w:rsidRPr="00D1540F">
        <w:rPr>
          <w:rFonts w:ascii="Calibri" w:hAnsi="Calibri" w:eastAsia="Calibri" w:cs="Calibri"/>
        </w:rPr>
        <w:t xml:space="preserve">In this way, the institution would have enough time to prepare for the elections, so there could be no excuse for </w:t>
      </w:r>
      <w:r w:rsidRPr="00D1540F" w:rsidR="001A0A1C">
        <w:rPr>
          <w:rFonts w:ascii="Calibri" w:hAnsi="Calibri" w:eastAsia="Calibri" w:cs="Calibri"/>
        </w:rPr>
        <w:t>failures</w:t>
      </w:r>
      <w:r w:rsidRPr="00D1540F">
        <w:rPr>
          <w:rFonts w:ascii="Calibri" w:hAnsi="Calibri" w:eastAsia="Calibri" w:cs="Calibri"/>
        </w:rPr>
        <w:t xml:space="preserve"> and poor quality work.</w:t>
      </w:r>
    </w:p>
    <w:p w:rsidRPr="00D1540F" w:rsidR="00D9505C" w:rsidP="00E73327" w:rsidRDefault="00D9505C" w14:paraId="76F228D6" w14:textId="77777777">
      <w:pPr>
        <w:jc w:val="both"/>
        <w:rPr>
          <w:rFonts w:cstheme="minorHAnsi"/>
        </w:rPr>
      </w:pPr>
    </w:p>
    <w:p w:rsidRPr="00D1540F" w:rsidR="2B108C12" w:rsidP="2B108C12" w:rsidRDefault="00980931" w14:paraId="3398EC0F" w14:textId="4DA0D836">
      <w:pPr>
        <w:jc w:val="both"/>
        <w:rPr>
          <w:rFonts w:ascii="Calibri" w:hAnsi="Calibri" w:eastAsia="Calibri" w:cs="Calibri"/>
          <w:b/>
          <w:bCs/>
          <w:sz w:val="26"/>
          <w:szCs w:val="26"/>
        </w:rPr>
      </w:pPr>
      <w:r w:rsidRPr="00D1540F">
        <w:rPr>
          <w:rFonts w:ascii="Calibri" w:hAnsi="Calibri" w:eastAsia="Calibri" w:cs="Calibri"/>
          <w:b/>
          <w:bCs/>
          <w:sz w:val="26"/>
          <w:szCs w:val="26"/>
        </w:rPr>
        <w:t>Research Center</w:t>
      </w:r>
      <w:r w:rsidRPr="00D1540F" w:rsidR="2B108C12">
        <w:rPr>
          <w:rFonts w:ascii="Calibri" w:hAnsi="Calibri" w:eastAsia="Calibri" w:cs="Calibri"/>
          <w:b/>
          <w:bCs/>
          <w:sz w:val="26"/>
          <w:szCs w:val="26"/>
        </w:rPr>
        <w:t xml:space="preserve"> </w:t>
      </w:r>
    </w:p>
    <w:p w:rsidRPr="00D1540F" w:rsidR="00BE4C6E" w:rsidP="00BE4C6E" w:rsidRDefault="001A0A1C" w14:paraId="504F697F" w14:textId="6D2DF201">
      <w:pPr>
        <w:jc w:val="both"/>
      </w:pPr>
      <w:r w:rsidRPr="00D1540F">
        <w:rPr>
          <w:b/>
        </w:rPr>
        <w:t>The CDT Research Center (R</w:t>
      </w:r>
      <w:r w:rsidRPr="00D1540F" w:rsidR="00BE4C6E">
        <w:rPr>
          <w:b/>
        </w:rPr>
        <w:t>C)</w:t>
      </w:r>
      <w:r w:rsidRPr="00D1540F" w:rsidR="00BE4C6E">
        <w:t xml:space="preserve"> was established in 2011 with the support of</w:t>
      </w:r>
      <w:r w:rsidRPr="00D1540F">
        <w:t xml:space="preserve"> the Think Tank Fund. Aim of the R</w:t>
      </w:r>
      <w:r w:rsidRPr="00D1540F" w:rsidR="00BE4C6E">
        <w:t>C</w:t>
      </w:r>
      <w:r w:rsidRPr="00D1540F">
        <w:t xml:space="preserve"> </w:t>
      </w:r>
      <w:r w:rsidRPr="00D1540F" w:rsidR="00BE4C6E">
        <w:t xml:space="preserve">is </w:t>
      </w:r>
      <w:r w:rsidR="00AD045C">
        <w:t>improvement of</w:t>
      </w:r>
      <w:r w:rsidRPr="00D1540F" w:rsidR="00BE4C6E">
        <w:t xml:space="preserve"> public policies, </w:t>
      </w:r>
      <w:r w:rsidRPr="00D1540F">
        <w:t>adoption of more quality decisions of state bodies,</w:t>
      </w:r>
      <w:r w:rsidRPr="00D1540F" w:rsidR="00BE4C6E">
        <w:t xml:space="preserve"> </w:t>
      </w:r>
      <w:r w:rsidR="00AD045C">
        <w:t>strengthening of</w:t>
      </w:r>
      <w:r w:rsidR="002E25C8">
        <w:t xml:space="preserve"> the </w:t>
      </w:r>
      <w:r w:rsidRPr="00D1540F" w:rsidR="00BE4C6E">
        <w:t>public dialogue and</w:t>
      </w:r>
      <w:r w:rsidRPr="00AD045C" w:rsidR="00AD045C">
        <w:t xml:space="preserve"> strengthening of</w:t>
      </w:r>
      <w:r w:rsidRPr="00D1540F" w:rsidR="00BE4C6E">
        <w:t xml:space="preserve"> institutions.</w:t>
      </w:r>
    </w:p>
    <w:p w:rsidRPr="00D1540F" w:rsidR="00BE4C6E" w:rsidP="00BE4C6E" w:rsidRDefault="001A0A1C" w14:paraId="58BDA994" w14:textId="297E4967">
      <w:pPr>
        <w:jc w:val="both"/>
      </w:pPr>
      <w:r w:rsidRPr="00D1540F">
        <w:t>In its work, the</w:t>
      </w:r>
      <w:r w:rsidRPr="00D1540F">
        <w:rPr>
          <w:b/>
        </w:rPr>
        <w:t xml:space="preserve"> R</w:t>
      </w:r>
      <w:r w:rsidRPr="00D1540F" w:rsidR="00BE4C6E">
        <w:rPr>
          <w:b/>
        </w:rPr>
        <w:t>C</w:t>
      </w:r>
      <w:r w:rsidRPr="00D1540F" w:rsidR="00BE4C6E">
        <w:t xml:space="preserve"> uses modern research methods and is guided by standards of transparency, objectivity and precision. Relying on comparative examples of good practice and practical results, it defines measures and recommendations for improving the status that are delivered to decision-makers and the general public.</w:t>
      </w:r>
    </w:p>
    <w:p w:rsidRPr="00D1540F" w:rsidR="00BE4C6E" w:rsidP="00BE4C6E" w:rsidRDefault="00BE4C6E" w14:paraId="0383FD04" w14:textId="52D7BC13">
      <w:pPr>
        <w:jc w:val="both"/>
      </w:pPr>
      <w:r w:rsidRPr="00D1540F">
        <w:t xml:space="preserve">The </w:t>
      </w:r>
      <w:r w:rsidRPr="00D1540F">
        <w:rPr>
          <w:b/>
        </w:rPr>
        <w:t>IC</w:t>
      </w:r>
      <w:r w:rsidRPr="00D1540F" w:rsidR="001A0A1C">
        <w:t xml:space="preserve"> is dedicated to</w:t>
      </w:r>
      <w:r w:rsidRPr="00D1540F">
        <w:t xml:space="preserve"> continuous training of its own capacities </w:t>
      </w:r>
      <w:r w:rsidRPr="00D1540F" w:rsidR="00C430D0">
        <w:t xml:space="preserve">seeing it as a </w:t>
      </w:r>
      <w:r w:rsidRPr="00D1540F">
        <w:t>quality</w:t>
      </w:r>
      <w:r w:rsidRPr="00D1540F" w:rsidR="00C430D0">
        <w:t xml:space="preserve"> control mechanism</w:t>
      </w:r>
      <w:r w:rsidRPr="00D1540F">
        <w:t xml:space="preserve"> </w:t>
      </w:r>
      <w:r w:rsidRPr="00D1540F" w:rsidR="00C430D0">
        <w:t>for its</w:t>
      </w:r>
      <w:r w:rsidRPr="00D1540F">
        <w:t xml:space="preserve"> research products, and, in addition to the CDT team, a number of domestic and international experts </w:t>
      </w:r>
      <w:r w:rsidRPr="00D1540F" w:rsidR="00C430D0">
        <w:t xml:space="preserve">are involved in its work </w:t>
      </w:r>
      <w:r w:rsidRPr="00D1540F">
        <w:t>as external associates.</w:t>
      </w:r>
    </w:p>
    <w:p w:rsidRPr="00D1540F" w:rsidR="00683923" w:rsidP="00683923" w:rsidRDefault="001A0A1C" w14:paraId="69C168EF" w14:textId="7D293939">
      <w:pPr>
        <w:jc w:val="both"/>
      </w:pPr>
      <w:r w:rsidRPr="00D1540F">
        <w:t>W</w:t>
      </w:r>
      <w:r w:rsidRPr="00D1540F" w:rsidR="00683923">
        <w:t xml:space="preserve">e recommend the following policy </w:t>
      </w:r>
      <w:r w:rsidRPr="00D1540F">
        <w:t xml:space="preserve">proposals </w:t>
      </w:r>
      <w:r w:rsidRPr="00D1540F" w:rsidR="00C430D0">
        <w:t>to</w:t>
      </w:r>
      <w:r w:rsidRPr="00D1540F">
        <w:t xml:space="preserve"> </w:t>
      </w:r>
      <w:r w:rsidRPr="00D1540F" w:rsidR="00A77E38">
        <w:t>your</w:t>
      </w:r>
      <w:r w:rsidRPr="00D1540F">
        <w:t xml:space="preserve"> attention</w:t>
      </w:r>
      <w:r w:rsidRPr="00D1540F" w:rsidR="00683923">
        <w:t>:</w:t>
      </w:r>
    </w:p>
    <w:p w:rsidRPr="00D1540F" w:rsidR="2B108C12" w:rsidP="00DD3F5D" w:rsidRDefault="00330FF0" w14:paraId="5762D7C8" w14:textId="42FDA979">
      <w:pPr>
        <w:pStyle w:val="ListParagraph"/>
        <w:numPr>
          <w:ilvl w:val="0"/>
          <w:numId w:val="4"/>
        </w:numPr>
        <w:jc w:val="both"/>
        <w:rPr>
          <w:rFonts w:eastAsiaTheme="minorEastAsia"/>
        </w:rPr>
      </w:pPr>
      <w:r w:rsidRPr="00D1540F">
        <w:rPr>
          <w:rFonts w:ascii="Calibri" w:hAnsi="Calibri" w:eastAsia="Calibri" w:cs="Calibri"/>
        </w:rPr>
        <w:t>Please read the following documents o</w:t>
      </w:r>
      <w:r w:rsidRPr="00D1540F" w:rsidR="001A0A1C">
        <w:rPr>
          <w:rFonts w:ascii="Calibri" w:hAnsi="Calibri" w:eastAsia="Calibri" w:cs="Calibri"/>
        </w:rPr>
        <w:t>n</w:t>
      </w:r>
      <w:r w:rsidRPr="00D1540F" w:rsidR="00DD3F5D">
        <w:rPr>
          <w:rFonts w:ascii="Calibri" w:hAnsi="Calibri" w:eastAsia="Calibri" w:cs="Calibri"/>
        </w:rPr>
        <w:t xml:space="preserve"> the need </w:t>
      </w:r>
      <w:r w:rsidRPr="00D1540F" w:rsidR="001A0A1C">
        <w:rPr>
          <w:rFonts w:ascii="Calibri" w:hAnsi="Calibri" w:eastAsia="Calibri" w:cs="Calibri"/>
        </w:rPr>
        <w:t>for making changes to</w:t>
      </w:r>
      <w:r w:rsidRPr="00D1540F" w:rsidR="00DD3F5D">
        <w:rPr>
          <w:rFonts w:ascii="Calibri" w:hAnsi="Calibri" w:eastAsia="Calibri" w:cs="Calibri"/>
        </w:rPr>
        <w:t xml:space="preserve"> elect</w:t>
      </w:r>
      <w:r w:rsidRPr="00D1540F" w:rsidR="001A0A1C">
        <w:rPr>
          <w:rFonts w:ascii="Calibri" w:hAnsi="Calibri" w:eastAsia="Calibri" w:cs="Calibri"/>
        </w:rPr>
        <w:t>ion</w:t>
      </w:r>
      <w:r w:rsidRPr="00D1540F" w:rsidR="00DD3F5D">
        <w:rPr>
          <w:rFonts w:ascii="Calibri" w:hAnsi="Calibri" w:eastAsia="Calibri" w:cs="Calibri"/>
        </w:rPr>
        <w:t xml:space="preserve"> legislation and reach</w:t>
      </w:r>
      <w:r w:rsidR="009C4A4D">
        <w:rPr>
          <w:rFonts w:ascii="Calibri" w:hAnsi="Calibri" w:eastAsia="Calibri" w:cs="Calibri"/>
        </w:rPr>
        <w:t>ing</w:t>
      </w:r>
      <w:r w:rsidRPr="00D1540F" w:rsidR="00DD3F5D">
        <w:rPr>
          <w:rFonts w:ascii="Calibri" w:hAnsi="Calibri" w:eastAsia="Calibri" w:cs="Calibri"/>
        </w:rPr>
        <w:t xml:space="preserve"> democratic standards of fair elections</w:t>
      </w:r>
      <w:r w:rsidRPr="00D1540F" w:rsidR="001A0A1C">
        <w:rPr>
          <w:rFonts w:ascii="Calibri" w:hAnsi="Calibri" w:eastAsia="Calibri" w:cs="Calibri"/>
        </w:rPr>
        <w:t>:</w:t>
      </w:r>
    </w:p>
    <w:p w:rsidRPr="00D1540F" w:rsidR="2B108C12" w:rsidP="2B108C12" w:rsidRDefault="00330FF0" w14:paraId="2DC00765" w14:textId="0A5399FE">
      <w:pPr>
        <w:jc w:val="both"/>
      </w:pPr>
      <w:r w:rsidRPr="00D1540F">
        <w:rPr>
          <w:rFonts w:ascii="Calibri" w:hAnsi="Calibri" w:eastAsia="Calibri" w:cs="Calibri"/>
          <w:i/>
          <w:iCs/>
        </w:rPr>
        <w:t xml:space="preserve">Recommendations for improving the legislative framework for elections - By fulfilling the OSCE / ODIHR recommendations </w:t>
      </w:r>
      <w:hyperlink r:id="rId9">
        <w:r w:rsidRPr="00D1540F" w:rsidR="2B108C12">
          <w:rPr>
            <w:rStyle w:val="Hyperlink"/>
            <w:rFonts w:ascii="Calibri" w:hAnsi="Calibri" w:eastAsia="Calibri" w:cs="Calibri"/>
          </w:rPr>
          <w:t>https://www.cdtmn.org/izbori/izbori-analize/preporuke-za-unapredjenje-izbornih-zakona-2017/</w:t>
        </w:r>
      </w:hyperlink>
      <w:r w:rsidRPr="00D1540F" w:rsidR="2B108C12">
        <w:rPr>
          <w:rFonts w:ascii="Calibri" w:hAnsi="Calibri" w:eastAsia="Calibri" w:cs="Calibri"/>
        </w:rPr>
        <w:t xml:space="preserve"> </w:t>
      </w:r>
    </w:p>
    <w:p w:rsidRPr="00D1540F" w:rsidR="2B108C12" w:rsidP="2B108C12" w:rsidRDefault="00EC2B2F" w14:paraId="0AD298EA" w14:textId="0A556C88">
      <w:pPr>
        <w:jc w:val="both"/>
      </w:pPr>
      <w:r w:rsidRPr="00D1540F">
        <w:rPr>
          <w:rFonts w:ascii="Calibri" w:hAnsi="Calibri" w:eastAsia="Calibri" w:cs="Calibri"/>
          <w:i/>
          <w:iCs/>
        </w:rPr>
        <w:t xml:space="preserve">Depoliticized and efficient election administration - a prerequisite of having trust in elections </w:t>
      </w:r>
      <w:hyperlink r:id="rId10">
        <w:r w:rsidRPr="00D1540F" w:rsidR="2B108C12">
          <w:rPr>
            <w:rStyle w:val="Hyperlink"/>
            <w:rFonts w:ascii="Calibri" w:hAnsi="Calibri" w:eastAsia="Calibri" w:cs="Calibri"/>
          </w:rPr>
          <w:t>https://www.cdtmn.org/wp-content/uploads/2017/02/DIK-Policy-01022017.pdf</w:t>
        </w:r>
      </w:hyperlink>
      <w:r w:rsidRPr="00D1540F" w:rsidR="2B108C12">
        <w:rPr>
          <w:rFonts w:ascii="Calibri" w:hAnsi="Calibri" w:eastAsia="Calibri" w:cs="Calibri"/>
        </w:rPr>
        <w:t xml:space="preserve"> </w:t>
      </w:r>
    </w:p>
    <w:p w:rsidRPr="00D1540F" w:rsidR="2B108C12" w:rsidP="2B108C12" w:rsidRDefault="00330FF0" w14:paraId="47C5EC58" w14:textId="0BC600AF">
      <w:pPr>
        <w:jc w:val="both"/>
      </w:pPr>
      <w:r w:rsidRPr="00D1540F">
        <w:rPr>
          <w:rFonts w:ascii="Calibri" w:hAnsi="Calibri" w:eastAsia="Calibri" w:cs="Calibri"/>
          <w:i/>
          <w:iCs/>
        </w:rPr>
        <w:t xml:space="preserve">Recommendations for improving the work of the Agency for Prevention of Corruption - Review of the conclusions published in the report on the control of parliamentary elections </w:t>
      </w:r>
      <w:hyperlink r:id="rId11">
        <w:r w:rsidRPr="00D1540F" w:rsidR="2B108C12">
          <w:rPr>
            <w:rStyle w:val="Hyperlink"/>
            <w:rFonts w:ascii="Calibri" w:hAnsi="Calibri" w:eastAsia="Calibri" w:cs="Calibri"/>
          </w:rPr>
          <w:t>https://www.cdtmn.org/izbori/izbori-analize/preporuke-za-unapredenje-rada-agencije/</w:t>
        </w:r>
      </w:hyperlink>
    </w:p>
    <w:p w:rsidRPr="00D1540F" w:rsidR="2B108C12" w:rsidP="009C4A4D" w:rsidRDefault="00330FF0" w14:paraId="4867AD8B" w14:textId="64B9AE13">
      <w:pPr>
        <w:pStyle w:val="ListParagraph"/>
        <w:numPr>
          <w:ilvl w:val="0"/>
          <w:numId w:val="3"/>
        </w:numPr>
        <w:jc w:val="both"/>
        <w:rPr>
          <w:rFonts w:eastAsiaTheme="minorEastAsia"/>
        </w:rPr>
      </w:pPr>
      <w:r w:rsidRPr="00D1540F">
        <w:rPr>
          <w:rFonts w:ascii="Calibri" w:hAnsi="Calibri" w:eastAsia="Calibri" w:cs="Calibri"/>
        </w:rPr>
        <w:t>Please read the following documents o</w:t>
      </w:r>
      <w:r w:rsidRPr="00D1540F" w:rsidR="001A0A1C">
        <w:rPr>
          <w:rFonts w:ascii="Calibri" w:hAnsi="Calibri" w:eastAsia="Calibri" w:cs="Calibri"/>
        </w:rPr>
        <w:t>n h</w:t>
      </w:r>
      <w:r w:rsidRPr="00D1540F" w:rsidR="00DD3F5D">
        <w:rPr>
          <w:rFonts w:ascii="Calibri" w:hAnsi="Calibri" w:eastAsia="Calibri" w:cs="Calibri"/>
        </w:rPr>
        <w:t xml:space="preserve">ow </w:t>
      </w:r>
      <w:r w:rsidRPr="00D1540F" w:rsidR="001A0A1C">
        <w:rPr>
          <w:rFonts w:ascii="Calibri" w:hAnsi="Calibri" w:eastAsia="Calibri" w:cs="Calibri"/>
        </w:rPr>
        <w:t>civil society experts</w:t>
      </w:r>
      <w:r w:rsidRPr="00D1540F" w:rsidR="00DD3F5D">
        <w:rPr>
          <w:rFonts w:ascii="Calibri" w:hAnsi="Calibri" w:eastAsia="Calibri" w:cs="Calibri"/>
        </w:rPr>
        <w:t xml:space="preserve"> see </w:t>
      </w:r>
      <w:r w:rsidRPr="009C4A4D" w:rsidR="009C4A4D">
        <w:rPr>
          <w:rFonts w:ascii="Calibri" w:hAnsi="Calibri" w:eastAsia="Calibri" w:cs="Calibri"/>
        </w:rPr>
        <w:t>progress of Montenegro in meeting political criteria in negotiations with the EU</w:t>
      </w:r>
      <w:r w:rsidRPr="00D1540F" w:rsidR="00DD3F5D">
        <w:rPr>
          <w:rFonts w:ascii="Calibri" w:hAnsi="Calibri" w:eastAsia="Calibri" w:cs="Calibri"/>
        </w:rPr>
        <w:t>:</w:t>
      </w:r>
    </w:p>
    <w:p w:rsidRPr="00D1540F" w:rsidR="2B108C12" w:rsidP="00330FF0" w:rsidRDefault="00330FF0" w14:paraId="37F4B0A9" w14:textId="46E3406B">
      <w:pPr>
        <w:jc w:val="both"/>
        <w:rPr>
          <w:rFonts w:ascii="Calibri" w:hAnsi="Calibri" w:eastAsia="Calibri" w:cs="Calibri"/>
          <w:i/>
          <w:iCs/>
        </w:rPr>
      </w:pPr>
      <w:r w:rsidRPr="00D1540F">
        <w:rPr>
          <w:rFonts w:ascii="Calibri" w:hAnsi="Calibri" w:eastAsia="Calibri" w:cs="Calibri"/>
          <w:i/>
          <w:iCs/>
        </w:rPr>
        <w:t xml:space="preserve">Assessment of progress of Montenegro in meeting political criteria in negotiations with the EU, Part I: Assessment of progress in the judiciary, fight against corruption and media </w:t>
      </w:r>
      <w:hyperlink r:id="rId12">
        <w:r w:rsidRPr="00D1540F" w:rsidR="2B108C12">
          <w:rPr>
            <w:rStyle w:val="Hyperlink"/>
            <w:rFonts w:ascii="Calibri" w:hAnsi="Calibri" w:eastAsia="Calibri" w:cs="Calibri"/>
          </w:rPr>
          <w:t>https://www.cdtmn.org/dobroupravljanje/du-analize/procjena-napretka-cg-u-pregovorima-sa-eu-2017-predlog-prakticne-politike/</w:t>
        </w:r>
      </w:hyperlink>
      <w:r w:rsidRPr="00D1540F" w:rsidR="2B108C12">
        <w:rPr>
          <w:rFonts w:ascii="Calibri" w:hAnsi="Calibri" w:eastAsia="Calibri" w:cs="Calibri"/>
        </w:rPr>
        <w:t xml:space="preserve"> </w:t>
      </w:r>
    </w:p>
    <w:p w:rsidRPr="00D1540F" w:rsidR="2B108C12" w:rsidP="2B108C12" w:rsidRDefault="00330FF0" w14:paraId="67CD90BB" w14:textId="3AB37AA7">
      <w:pPr>
        <w:jc w:val="both"/>
      </w:pPr>
      <w:r w:rsidRPr="00D1540F">
        <w:rPr>
          <w:rFonts w:ascii="Calibri" w:hAnsi="Calibri" w:eastAsia="Calibri" w:cs="Calibri"/>
          <w:i/>
          <w:iCs/>
        </w:rPr>
        <w:t>Assessment of progress of Montenegro in meeting political crite</w:t>
      </w:r>
      <w:r w:rsidRPr="00D1540F" w:rsidR="00E2396B">
        <w:rPr>
          <w:rFonts w:ascii="Calibri" w:hAnsi="Calibri" w:eastAsia="Calibri" w:cs="Calibri"/>
          <w:i/>
          <w:iCs/>
        </w:rPr>
        <w:t xml:space="preserve">ria in negotiations with the EU, Part II: Assessment of progress in public administration reform, fight against organized crime and human rights </w:t>
      </w:r>
      <w:hyperlink r:id="rId13">
        <w:r w:rsidRPr="00D1540F" w:rsidR="2B108C12">
          <w:rPr>
            <w:rStyle w:val="Hyperlink"/>
            <w:rFonts w:ascii="Calibri" w:hAnsi="Calibri" w:eastAsia="Calibri" w:cs="Calibri"/>
          </w:rPr>
          <w:t>https://www.cdtmn.org/dobroupravljanje/du-analize/procjena-napretka-cg-u-pregovorima-sa-eu-2017-predlog-prakticne-politike-ii-dio/</w:t>
        </w:r>
      </w:hyperlink>
    </w:p>
    <w:p w:rsidRPr="00D1540F" w:rsidR="2B108C12" w:rsidP="00DD3F5D" w:rsidRDefault="00E2396B" w14:paraId="73908270" w14:textId="3F7908B7">
      <w:pPr>
        <w:pStyle w:val="ListParagraph"/>
        <w:numPr>
          <w:ilvl w:val="0"/>
          <w:numId w:val="2"/>
        </w:numPr>
        <w:jc w:val="both"/>
        <w:rPr>
          <w:rFonts w:eastAsiaTheme="minorEastAsia"/>
        </w:rPr>
      </w:pPr>
      <w:r w:rsidRPr="00D1540F">
        <w:rPr>
          <w:rFonts w:ascii="Calibri" w:hAnsi="Calibri" w:eastAsia="Calibri" w:cs="Calibri"/>
        </w:rPr>
        <w:t>Please read the following documents on h</w:t>
      </w:r>
      <w:r w:rsidRPr="00D1540F" w:rsidR="00DD3F5D">
        <w:rPr>
          <w:rFonts w:ascii="Calibri" w:hAnsi="Calibri" w:eastAsia="Calibri" w:cs="Calibri"/>
        </w:rPr>
        <w:t xml:space="preserve">ow the state and local governments plan development, measure the success of their work, and what </w:t>
      </w:r>
      <w:r w:rsidRPr="00D1540F">
        <w:rPr>
          <w:rFonts w:ascii="Calibri" w:hAnsi="Calibri" w:eastAsia="Calibri" w:cs="Calibri"/>
        </w:rPr>
        <w:t>should they</w:t>
      </w:r>
      <w:r w:rsidRPr="00D1540F" w:rsidR="00DD3F5D">
        <w:rPr>
          <w:rFonts w:ascii="Calibri" w:hAnsi="Calibri" w:eastAsia="Calibri" w:cs="Calibri"/>
        </w:rPr>
        <w:t xml:space="preserve"> do to improve the practices in this area:</w:t>
      </w:r>
    </w:p>
    <w:p w:rsidRPr="00D1540F" w:rsidR="2B108C12" w:rsidP="2B108C12" w:rsidRDefault="001C1E72" w14:paraId="64A6E231" w14:textId="67A6801D">
      <w:pPr>
        <w:jc w:val="both"/>
      </w:pPr>
      <w:r w:rsidRPr="00D1540F">
        <w:rPr>
          <w:rFonts w:ascii="Calibri" w:hAnsi="Calibri" w:eastAsia="Calibri" w:cs="Calibri"/>
          <w:i/>
          <w:iCs/>
        </w:rPr>
        <w:t xml:space="preserve">Planning, measuring, and reporting leveraging success of government policies </w:t>
      </w:r>
      <w:hyperlink r:id="rId14">
        <w:r w:rsidRPr="00D1540F" w:rsidR="2B108C12">
          <w:rPr>
            <w:rStyle w:val="Hyperlink"/>
            <w:rFonts w:ascii="Calibri" w:hAnsi="Calibri" w:eastAsia="Calibri" w:cs="Calibri"/>
          </w:rPr>
          <w:t>https://www.cdtmn.org/dobroupravljanje/du-analize/predlog-prakticne-politike/</w:t>
        </w:r>
      </w:hyperlink>
      <w:r w:rsidRPr="00D1540F" w:rsidR="2B108C12">
        <w:rPr>
          <w:rFonts w:ascii="Calibri" w:hAnsi="Calibri" w:eastAsia="Calibri" w:cs="Calibri"/>
        </w:rPr>
        <w:t xml:space="preserve"> </w:t>
      </w:r>
    </w:p>
    <w:p w:rsidRPr="00D1540F" w:rsidR="2B108C12" w:rsidP="2B108C12" w:rsidRDefault="00E2396B" w14:paraId="3B3790E8" w14:textId="0F6BABB6">
      <w:pPr>
        <w:jc w:val="both"/>
      </w:pPr>
      <w:r w:rsidRPr="00D1540F">
        <w:rPr>
          <w:rFonts w:ascii="Calibri" w:hAnsi="Calibri" w:eastAsia="Calibri" w:cs="Calibri"/>
          <w:i/>
          <w:iCs/>
        </w:rPr>
        <w:t xml:space="preserve">Planning, measuring, and reporting leveraging success of government policies </w:t>
      </w:r>
      <w:r w:rsidRPr="00D1540F" w:rsidR="2B108C12">
        <w:rPr>
          <w:rFonts w:ascii="Calibri" w:hAnsi="Calibri" w:eastAsia="Calibri" w:cs="Calibri"/>
          <w:i/>
          <w:iCs/>
        </w:rPr>
        <w:t xml:space="preserve">- </w:t>
      </w:r>
      <w:r w:rsidRPr="00D1540F">
        <w:rPr>
          <w:rFonts w:ascii="Calibri" w:hAnsi="Calibri" w:eastAsia="Calibri" w:cs="Calibri"/>
          <w:i/>
          <w:iCs/>
        </w:rPr>
        <w:t>On the example of the municipalities of Nikšić and Kotor</w:t>
      </w:r>
      <w:r w:rsidRPr="00D1540F" w:rsidR="2B108C12">
        <w:rPr>
          <w:rFonts w:ascii="Calibri" w:hAnsi="Calibri" w:eastAsia="Calibri" w:cs="Calibri"/>
          <w:i/>
          <w:iCs/>
        </w:rPr>
        <w:t xml:space="preserve"> </w:t>
      </w:r>
      <w:hyperlink r:id="rId15">
        <w:r w:rsidRPr="00D1540F" w:rsidR="2B108C12">
          <w:rPr>
            <w:rStyle w:val="Hyperlink"/>
            <w:rFonts w:ascii="Calibri" w:hAnsi="Calibri" w:eastAsia="Calibri" w:cs="Calibri"/>
          </w:rPr>
          <w:t>https://www.cdtmn.org/dobroupravljanje/du-analize/upravljanje-za-rezultate-na-lokalnom-nivou-2017-predlog-prakticne-politike/</w:t>
        </w:r>
      </w:hyperlink>
      <w:r w:rsidRPr="00D1540F" w:rsidR="2B108C12">
        <w:rPr>
          <w:rFonts w:ascii="Calibri" w:hAnsi="Calibri" w:eastAsia="Calibri" w:cs="Calibri"/>
        </w:rPr>
        <w:t xml:space="preserve"> </w:t>
      </w:r>
    </w:p>
    <w:p w:rsidRPr="00D1540F" w:rsidR="2B108C12" w:rsidP="00DD3F5D" w:rsidRDefault="00E2396B" w14:paraId="23F3E34D" w14:textId="2B38C465">
      <w:pPr>
        <w:pStyle w:val="ListParagraph"/>
        <w:numPr>
          <w:ilvl w:val="0"/>
          <w:numId w:val="1"/>
        </w:numPr>
        <w:jc w:val="both"/>
        <w:rPr>
          <w:rFonts w:eastAsiaTheme="minorEastAsia"/>
        </w:rPr>
      </w:pPr>
      <w:r w:rsidRPr="00D1540F">
        <w:rPr>
          <w:rFonts w:ascii="Calibri" w:hAnsi="Calibri" w:eastAsia="Calibri" w:cs="Calibri"/>
        </w:rPr>
        <w:t xml:space="preserve">Please read the following document on how </w:t>
      </w:r>
      <w:r w:rsidRPr="00D1540F" w:rsidR="00DD3F5D">
        <w:rPr>
          <w:rFonts w:ascii="Calibri" w:hAnsi="Calibri" w:eastAsia="Calibri" w:cs="Calibri"/>
        </w:rPr>
        <w:t xml:space="preserve">the state recognizes </w:t>
      </w:r>
      <w:r w:rsidRPr="00D1540F" w:rsidR="00F4796E">
        <w:rPr>
          <w:rFonts w:ascii="Calibri" w:hAnsi="Calibri" w:eastAsia="Calibri" w:cs="Calibri"/>
        </w:rPr>
        <w:t>viol</w:t>
      </w:r>
      <w:r w:rsidRPr="00D1540F">
        <w:rPr>
          <w:rFonts w:ascii="Calibri" w:hAnsi="Calibri" w:eastAsia="Calibri" w:cs="Calibri"/>
        </w:rPr>
        <w:t xml:space="preserve">ent extremism and how it </w:t>
      </w:r>
      <w:r w:rsidRPr="00D1540F" w:rsidR="00AE1B74">
        <w:rPr>
          <w:rFonts w:ascii="Calibri" w:hAnsi="Calibri" w:eastAsia="Calibri" w:cs="Calibri"/>
        </w:rPr>
        <w:t>counter</w:t>
      </w:r>
      <w:r w:rsidRPr="00D1540F">
        <w:rPr>
          <w:rFonts w:ascii="Calibri" w:hAnsi="Calibri" w:eastAsia="Calibri" w:cs="Calibri"/>
        </w:rPr>
        <w:t>s it</w:t>
      </w:r>
      <w:r w:rsidRPr="00D1540F" w:rsidR="00DD3F5D">
        <w:rPr>
          <w:rFonts w:ascii="Calibri" w:hAnsi="Calibri" w:eastAsia="Calibri" w:cs="Calibri"/>
        </w:rPr>
        <w:t>:</w:t>
      </w:r>
    </w:p>
    <w:p w:rsidRPr="00D1540F" w:rsidR="2B108C12" w:rsidP="2B108C12" w:rsidRDefault="00E2396B" w14:paraId="581453B7" w14:textId="1731EBB1">
      <w:pPr>
        <w:jc w:val="both"/>
        <w:rPr>
          <w:rFonts w:ascii="Calibri" w:hAnsi="Calibri" w:eastAsia="Calibri" w:cs="Calibri"/>
          <w:i/>
          <w:iCs/>
        </w:rPr>
      </w:pPr>
      <w:r w:rsidRPr="00D1540F">
        <w:rPr>
          <w:rFonts w:ascii="Calibri" w:hAnsi="Calibri" w:eastAsia="Calibri" w:cs="Calibri"/>
          <w:i/>
          <w:iCs/>
        </w:rPr>
        <w:t>How to improve implementation of the Strategy on Countering Violent Extremism</w:t>
      </w:r>
      <w:r w:rsidRPr="00D1540F" w:rsidR="2B108C12">
        <w:rPr>
          <w:rFonts w:ascii="Calibri" w:hAnsi="Calibri" w:eastAsia="Calibri" w:cs="Calibri"/>
          <w:i/>
          <w:iCs/>
        </w:rPr>
        <w:t>?</w:t>
      </w:r>
      <w:r w:rsidRPr="00D1540F">
        <w:rPr>
          <w:rFonts w:ascii="Calibri" w:hAnsi="Calibri" w:eastAsia="Calibri" w:cs="Calibri"/>
          <w:i/>
          <w:iCs/>
        </w:rPr>
        <w:t xml:space="preserve"> </w:t>
      </w:r>
      <w:hyperlink r:id="rId16">
        <w:r w:rsidRPr="00D1540F" w:rsidR="2B108C12">
          <w:rPr>
            <w:rStyle w:val="Hyperlink"/>
            <w:rFonts w:ascii="Calibri" w:hAnsi="Calibri" w:eastAsia="Calibri" w:cs="Calibri"/>
          </w:rPr>
          <w:t>https://www.cdtmn.org/eu/eu-analize/kako-poboljsati-sprovodjenje-strategije-suzbijanja-nasilnog-ekstremizma-2</w:t>
        </w:r>
        <w:bookmarkStart w:name="_GoBack" w:id="0"/>
        <w:bookmarkEnd w:id="0"/>
        <w:r w:rsidRPr="00D1540F" w:rsidR="2B108C12">
          <w:rPr>
            <w:rStyle w:val="Hyperlink"/>
            <w:rFonts w:ascii="Calibri" w:hAnsi="Calibri" w:eastAsia="Calibri" w:cs="Calibri"/>
          </w:rPr>
          <w:t>017-predlog-prakticne-politike/</w:t>
        </w:r>
      </w:hyperlink>
    </w:p>
    <w:sectPr w:rsidRPr="00D1540F" w:rsidR="2B108C1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28" w:rsidP="00425E46" w:rsidRDefault="00851928" w14:paraId="32B0E13E" w14:textId="77777777">
      <w:pPr>
        <w:spacing w:after="0" w:line="240" w:lineRule="auto"/>
      </w:pPr>
      <w:r>
        <w:separator/>
      </w:r>
    </w:p>
  </w:endnote>
  <w:endnote w:type="continuationSeparator" w:id="0">
    <w:p w:rsidR="00851928" w:rsidP="00425E46" w:rsidRDefault="00851928" w14:paraId="7A4283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28" w:rsidP="00425E46" w:rsidRDefault="00851928" w14:paraId="3F31B015" w14:textId="77777777">
      <w:pPr>
        <w:spacing w:after="0" w:line="240" w:lineRule="auto"/>
      </w:pPr>
      <w:r>
        <w:separator/>
      </w:r>
    </w:p>
  </w:footnote>
  <w:footnote w:type="continuationSeparator" w:id="0">
    <w:p w:rsidR="00851928" w:rsidP="00425E46" w:rsidRDefault="00851928" w14:paraId="6EF7A687" w14:textId="77777777">
      <w:pPr>
        <w:spacing w:after="0" w:line="240" w:lineRule="auto"/>
      </w:pPr>
      <w:r>
        <w:continuationSeparator/>
      </w:r>
    </w:p>
  </w:footnote>
  <w:footnote w:id="1">
    <w:p w:rsidRPr="00B001C8" w:rsidR="004F3447" w:rsidP="00D14EC8" w:rsidRDefault="004F3447" w14:paraId="5951005F" w14:textId="15152C06">
      <w:pPr>
        <w:pStyle w:val="FootnoteText"/>
        <w:rPr>
          <w:lang w:val="bs-Latn-BA"/>
        </w:rPr>
      </w:pPr>
      <w:r>
        <w:rPr>
          <w:rStyle w:val="FootnoteReference"/>
        </w:rPr>
        <w:footnoteRef/>
      </w:r>
      <w:r>
        <w:t xml:space="preserve"> Karp, Jeffrey, Alessandro Nai, Miguel Angel Lara Otaola, and Pippa Norris, 2017, </w:t>
      </w:r>
      <w:r w:rsidRPr="2B108C12">
        <w:rPr>
          <w:i/>
          <w:iCs/>
        </w:rPr>
        <w:t>Professional Electoral Management: Building Capacity</w:t>
      </w:r>
      <w:r>
        <w:t>, The Electoral Integrity Project, University of Sydney.</w:t>
      </w:r>
    </w:p>
  </w:footnote>
  <w:footnote w:id="2">
    <w:p w:rsidRPr="00C7303B" w:rsidR="004F3447" w:rsidP="00C47188" w:rsidRDefault="004F3447" w14:paraId="7BCB8B53" w14:textId="2C70A8A0">
      <w:pPr>
        <w:pStyle w:val="FootnoteText"/>
        <w:rPr>
          <w:lang w:val="bs-Latn-BA"/>
        </w:rPr>
      </w:pPr>
      <w:r>
        <w:rPr>
          <w:rStyle w:val="FootnoteReference"/>
        </w:rPr>
        <w:footnoteRef/>
      </w:r>
      <w:r w:rsidRPr="0002362A">
        <w:rPr>
          <w:lang w:val="bs-Latn-BA"/>
        </w:rPr>
        <w:t xml:space="preserve"> </w:t>
      </w:r>
      <w:r w:rsidRPr="00AD17BB">
        <w:rPr>
          <w:lang w:val="bs-Latn-BA"/>
        </w:rPr>
        <w:t>Currently, three members</w:t>
      </w:r>
      <w:r>
        <w:rPr>
          <w:lang w:val="bs-Latn-BA"/>
        </w:rPr>
        <w:t xml:space="preserve"> of the SEC</w:t>
      </w:r>
      <w:r w:rsidRPr="00AD17BB">
        <w:rPr>
          <w:lang w:val="bs-Latn-BA"/>
        </w:rPr>
        <w:t xml:space="preserve"> perform other public functions as their basic occupation. Members of the current </w:t>
      </w:r>
      <w:r>
        <w:rPr>
          <w:lang w:val="bs-Latn-BA"/>
        </w:rPr>
        <w:t>convocation</w:t>
      </w:r>
      <w:r w:rsidRPr="00AD17BB">
        <w:rPr>
          <w:lang w:val="bs-Latn-BA"/>
        </w:rPr>
        <w:t xml:space="preserve"> of the </w:t>
      </w:r>
      <w:r>
        <w:rPr>
          <w:lang w:val="bs-Latn-BA"/>
        </w:rPr>
        <w:t>SEC</w:t>
      </w:r>
      <w:r w:rsidRPr="00AD17BB">
        <w:rPr>
          <w:lang w:val="bs-Latn-BA"/>
        </w:rPr>
        <w:t xml:space="preserve"> are the Secretary General of the </w:t>
      </w:r>
      <w:r>
        <w:rPr>
          <w:lang w:val="bs-Latn-BA"/>
        </w:rPr>
        <w:t>Parliament</w:t>
      </w:r>
      <w:r w:rsidRPr="00AD17BB">
        <w:rPr>
          <w:lang w:val="bs-Latn-BA"/>
        </w:rPr>
        <w:t xml:space="preserve"> of Montenegro and t</w:t>
      </w:r>
      <w:r>
        <w:rPr>
          <w:lang w:val="bs-Latn-BA"/>
        </w:rPr>
        <w:t>he Deputy Prime Minister for</w:t>
      </w:r>
      <w:r w:rsidRPr="00AD17BB">
        <w:rPr>
          <w:lang w:val="bs-Latn-BA"/>
        </w:rPr>
        <w:t xml:space="preserve"> Po</w:t>
      </w:r>
      <w:r>
        <w:rPr>
          <w:lang w:val="bs-Latn-BA"/>
        </w:rPr>
        <w:t>litical System, Internal and Foreign Policy</w:t>
      </w:r>
      <w:r w:rsidRPr="00AD17BB">
        <w:rPr>
          <w:lang w:val="bs-Latn-BA"/>
        </w:rPr>
        <w:t>.</w:t>
      </w:r>
    </w:p>
  </w:footnote>
  <w:footnote w:id="3">
    <w:p w:rsidRPr="00FF568A" w:rsidR="004F3447" w:rsidP="00483010" w:rsidRDefault="004F3447" w14:paraId="54ACDED5" w14:textId="535CAD20">
      <w:pPr>
        <w:pStyle w:val="FootnoteText"/>
        <w:rPr>
          <w:lang w:val="bs-Latn-BA"/>
        </w:rPr>
      </w:pPr>
      <w:r>
        <w:rPr>
          <w:rStyle w:val="FootnoteReference"/>
        </w:rPr>
        <w:footnoteRef/>
      </w:r>
      <w:r w:rsidRPr="00842A52">
        <w:t xml:space="preserve"> Article</w:t>
      </w:r>
      <w:r>
        <w:rPr>
          <w:lang w:val="bs-Latn-BA"/>
        </w:rPr>
        <w:t xml:space="preserve"> 30 of the Law on Election of Councillors and Representatives, Official Gazette of the Republic of Montenegro, no</w:t>
      </w:r>
      <w:r w:rsidRPr="2B108C12">
        <w:t xml:space="preserve">. 16/2000 - </w:t>
      </w:r>
      <w:r w:rsidRPr="00483010">
        <w:rPr>
          <w:lang w:val="sr-Latn-CS"/>
        </w:rPr>
        <w:t>consolidated text</w:t>
      </w:r>
      <w:r w:rsidRPr="2B108C12">
        <w:t xml:space="preserve">, 9/2001, 41/2002, 46/2002, 45/2004 – </w:t>
      </w:r>
      <w:r w:rsidRPr="00636C63">
        <w:t>decision of the Constitutional Court</w:t>
      </w:r>
      <w:r w:rsidRPr="2B108C12">
        <w:t xml:space="preserve">, 48/2006, 56/2006 - </w:t>
      </w:r>
      <w:r w:rsidRPr="00636C63">
        <w:t>decision of the Constitutional Court</w:t>
      </w:r>
      <w:r>
        <w:t xml:space="preserve"> and </w:t>
      </w:r>
      <w:r>
        <w:rPr>
          <w:lang w:val="bs-Latn-BA"/>
        </w:rPr>
        <w:t xml:space="preserve">Official Gazette of Montenegro, </w:t>
      </w:r>
      <w:r>
        <w:t>no</w:t>
      </w:r>
      <w:r w:rsidRPr="2B108C12">
        <w:t xml:space="preserve">. 46/2011, 14/2014, 47/2014 - </w:t>
      </w:r>
      <w:r w:rsidRPr="00636C63">
        <w:t>decision of the Constitutional Court</w:t>
      </w:r>
      <w:r>
        <w:t xml:space="preserve">, 12/2016 - </w:t>
      </w:r>
      <w:r w:rsidRPr="00636C63">
        <w:t>decision of the Constitutional Court</w:t>
      </w:r>
      <w:r>
        <w:t xml:space="preserve"> and 60/2017 - </w:t>
      </w:r>
      <w:r w:rsidRPr="00636C63">
        <w:t>decision of the Constitutional Court</w:t>
      </w:r>
      <w:r>
        <w:t>.</w:t>
      </w:r>
    </w:p>
  </w:footnote>
  <w:footnote w:id="4">
    <w:p w:rsidRPr="001D7FD0" w:rsidR="004F3447" w:rsidP="00652BBD" w:rsidRDefault="004F3447" w14:paraId="769E5414" w14:textId="3B1B39FE">
      <w:pPr>
        <w:pStyle w:val="FootnoteText"/>
        <w:rPr>
          <w:lang w:val="bs-Latn-BA"/>
        </w:rPr>
      </w:pPr>
      <w:r>
        <w:rPr>
          <w:rStyle w:val="FootnoteReference"/>
        </w:rPr>
        <w:footnoteRef/>
      </w:r>
      <w:r w:rsidRPr="0048383B">
        <w:t xml:space="preserve"> </w:t>
      </w:r>
      <w:r w:rsidRPr="00704465">
        <w:rPr>
          <w:i/>
          <w:lang w:val="bs-Latn-BA"/>
        </w:rPr>
        <w:t>Ibid</w:t>
      </w:r>
      <w:r>
        <w:rPr>
          <w:lang w:val="bs-Latn-BA"/>
        </w:rPr>
        <w:t>.</w:t>
      </w:r>
    </w:p>
  </w:footnote>
  <w:footnote w:id="5">
    <w:p w:rsidRPr="001D7FD0" w:rsidR="004F3447" w:rsidP="00F27BD8" w:rsidRDefault="004F3447" w14:paraId="7C48213E" w14:textId="2EA6AC66">
      <w:pPr>
        <w:pStyle w:val="FootnoteText"/>
        <w:rPr>
          <w:lang w:val="bs-Latn-BA"/>
        </w:rPr>
      </w:pPr>
      <w:r>
        <w:rPr>
          <w:rStyle w:val="FootnoteReference"/>
        </w:rPr>
        <w:footnoteRef/>
      </w:r>
      <w:r w:rsidRPr="0048383B">
        <w:t xml:space="preserve"> </w:t>
      </w:r>
      <w:r w:rsidRPr="00E15A29">
        <w:rPr>
          <w:i/>
          <w:lang w:val="bs-Latn-BA"/>
        </w:rPr>
        <w:t>Ibid</w:t>
      </w:r>
      <w:r>
        <w:rPr>
          <w:lang w:val="bs-Latn-BA"/>
        </w:rPr>
        <w:t>.</w:t>
      </w:r>
    </w:p>
  </w:footnote>
  <w:footnote w:id="6">
    <w:p w:rsidRPr="006674C3" w:rsidR="004F3447" w:rsidP="009F09E6" w:rsidRDefault="004F3447" w14:paraId="51D66207" w14:textId="77777777">
      <w:pPr>
        <w:pStyle w:val="FootnoteText"/>
        <w:rPr>
          <w:lang w:val="bs-Latn-BA"/>
        </w:rPr>
      </w:pPr>
      <w:r>
        <w:rPr>
          <w:rStyle w:val="FootnoteReference"/>
        </w:rPr>
        <w:footnoteRef/>
      </w:r>
      <w:r w:rsidRPr="0002362A">
        <w:rPr>
          <w:lang w:val="bs-Latn-BA"/>
        </w:rPr>
        <w:t xml:space="preserve"> </w:t>
      </w:r>
      <w:hyperlink w:history="1" r:id="rId1">
        <w:r w:rsidRPr="0002362A">
          <w:rPr>
            <w:rStyle w:val="Hyperlink"/>
            <w:lang w:val="bs-Latn-BA"/>
          </w:rPr>
          <w:t>http://potpisi.dik.co.me/</w:t>
        </w:r>
      </w:hyperlink>
      <w:r w:rsidRPr="0002362A">
        <w:rPr>
          <w:lang w:val="bs-Latn-BA"/>
        </w:rPr>
        <w:t xml:space="preserve"> </w:t>
      </w:r>
    </w:p>
  </w:footnote>
  <w:footnote w:id="7">
    <w:p w:rsidRPr="00AB3D56" w:rsidR="004F3447" w:rsidP="009F09E6" w:rsidRDefault="004F3447" w14:paraId="51C8BC1A" w14:textId="77777777">
      <w:pPr>
        <w:pStyle w:val="FootnoteText"/>
        <w:rPr>
          <w:lang w:val="bs-Latn-BA"/>
        </w:rPr>
      </w:pPr>
      <w:r>
        <w:rPr>
          <w:rStyle w:val="FootnoteReference"/>
        </w:rPr>
        <w:footnoteRef/>
      </w:r>
      <w:r w:rsidRPr="0002362A">
        <w:rPr>
          <w:lang w:val="bs-Latn-BA"/>
        </w:rPr>
        <w:t xml:space="preserve"> </w:t>
      </w:r>
      <w:hyperlink w:history="1" r:id="rId2">
        <w:r w:rsidRPr="0002362A">
          <w:rPr>
            <w:rStyle w:val="Hyperlink"/>
            <w:lang w:val="bs-Latn-BA"/>
          </w:rPr>
          <w:t>http://rezultati.dik.co.me/</w:t>
        </w:r>
      </w:hyperlink>
      <w:r w:rsidRPr="0002362A">
        <w:rPr>
          <w:lang w:val="bs-Latn-BA"/>
        </w:rPr>
        <w:t xml:space="preserve"> </w:t>
      </w:r>
    </w:p>
  </w:footnote>
  <w:footnote w:id="8">
    <w:p w:rsidRPr="00621A90" w:rsidR="004F3447" w:rsidP="002A4965" w:rsidRDefault="004F3447" w14:paraId="4B7FCF12" w14:textId="06B91750">
      <w:pPr>
        <w:pStyle w:val="FootnoteText"/>
        <w:rPr>
          <w:lang w:val="bs-Latn-BA"/>
        </w:rPr>
      </w:pPr>
      <w:r>
        <w:rPr>
          <w:rStyle w:val="FootnoteReference"/>
        </w:rPr>
        <w:footnoteRef/>
      </w:r>
      <w:r>
        <w:t xml:space="preserve"> </w:t>
      </w:r>
      <w:r>
        <w:rPr>
          <w:lang w:val="bs-Latn-BA"/>
        </w:rPr>
        <w:t xml:space="preserve">Available at </w:t>
      </w:r>
      <w:hyperlink w:history="1" r:id="rId3">
        <w:r w:rsidRPr="006F6562">
          <w:rPr>
            <w:rStyle w:val="Hyperlink"/>
            <w:lang w:val="bs-Latn-BA"/>
          </w:rPr>
          <w:t>http://dik.co.me/wp-content/uploads/2018/01/6.Pravila-o-glasanju-putem-pisma.pdf</w:t>
        </w:r>
      </w:hyperlink>
      <w:r>
        <w:rPr>
          <w:lang w:val="bs-Latn-BA"/>
        </w:rPr>
        <w:t xml:space="preserve">, </w:t>
      </w:r>
      <w:r w:rsidRPr="00E15A29">
        <w:t>Accessed</w:t>
      </w:r>
      <w:r>
        <w:rPr>
          <w:lang w:val="bs-Latn-BA"/>
        </w:rPr>
        <w:t xml:space="preserve"> 7 June 2018. </w:t>
      </w:r>
    </w:p>
  </w:footnote>
  <w:footnote w:id="9">
    <w:p w:rsidRPr="00753119" w:rsidR="004F3447" w:rsidP="00817641" w:rsidRDefault="004F3447" w14:paraId="7B553E17" w14:textId="00B0867E">
      <w:pPr>
        <w:pStyle w:val="FootnoteText"/>
        <w:rPr>
          <w:lang w:val="bs-Latn-BA"/>
        </w:rPr>
      </w:pPr>
      <w:r>
        <w:rPr>
          <w:rStyle w:val="FootnoteReference"/>
        </w:rPr>
        <w:footnoteRef/>
      </w:r>
      <w:r w:rsidRPr="0002362A">
        <w:rPr>
          <w:lang w:val="bs-Latn-BA"/>
        </w:rPr>
        <w:t xml:space="preserve"> </w:t>
      </w:r>
      <w:r>
        <w:rPr>
          <w:lang w:val="bs-Latn-BA"/>
        </w:rPr>
        <w:t xml:space="preserve">Available at </w:t>
      </w:r>
      <w:hyperlink w:history="1" r:id="rId4">
        <w:r w:rsidRPr="006F6562">
          <w:rPr>
            <w:rStyle w:val="Hyperlink"/>
            <w:lang w:val="bs-Latn-BA"/>
          </w:rPr>
          <w:t>http://dik.co.me/izbori-za-predsjednika-crne-gore/edukacija-biraca/</w:t>
        </w:r>
      </w:hyperlink>
      <w:r>
        <w:rPr>
          <w:lang w:val="bs-Latn-BA"/>
        </w:rPr>
        <w:t xml:space="preserve">, </w:t>
      </w:r>
      <w:r w:rsidRPr="00E15A29">
        <w:t>Accessed</w:t>
      </w:r>
      <w:r>
        <w:rPr>
          <w:lang w:val="bs-Latn-BA"/>
        </w:rPr>
        <w:t xml:space="preserve"> 7 June 2018. </w:t>
      </w:r>
    </w:p>
  </w:footnote>
  <w:footnote w:id="10">
    <w:p w:rsidRPr="00852887" w:rsidR="004F3447" w:rsidP="00BD1FC0" w:rsidRDefault="004F3447" w14:paraId="6558014A" w14:textId="77777777">
      <w:pPr>
        <w:pStyle w:val="FootnoteText"/>
        <w:rPr>
          <w:lang w:val="bs-Latn-BA"/>
        </w:rPr>
      </w:pPr>
      <w:r>
        <w:rPr>
          <w:rStyle w:val="FootnoteReference"/>
        </w:rPr>
        <w:footnoteRef/>
      </w:r>
      <w:r w:rsidRPr="00683923">
        <w:rPr>
          <w:lang w:val="bs-Latn-BA"/>
        </w:rPr>
        <w:t xml:space="preserve"> </w:t>
      </w:r>
      <w:hyperlink w:history="1" r:id="rId5">
        <w:r w:rsidRPr="006F6562">
          <w:rPr>
            <w:rStyle w:val="Hyperlink"/>
            <w:lang w:val="bs-Latn-BA"/>
          </w:rPr>
          <w:t>www.biraci.me</w:t>
        </w:r>
      </w:hyperlink>
      <w:r>
        <w:rPr>
          <w:lang w:val="bs-Latn-BA"/>
        </w:rPr>
        <w:t xml:space="preserve"> </w:t>
      </w:r>
    </w:p>
  </w:footnote>
  <w:footnote w:id="11">
    <w:p w:rsidRPr="00FF568A" w:rsidR="004F3447" w:rsidP="00ED53CD" w:rsidRDefault="004F3447" w14:paraId="6ECEC88A" w14:textId="4945799F">
      <w:pPr>
        <w:pStyle w:val="FootnoteText"/>
        <w:rPr>
          <w:lang w:val="bs-Latn-BA"/>
        </w:rPr>
      </w:pPr>
      <w:r>
        <w:rPr>
          <w:rStyle w:val="FootnoteReference"/>
        </w:rPr>
        <w:footnoteRef/>
      </w:r>
      <w:r w:rsidRPr="00683923">
        <w:rPr>
          <w:lang w:val="bs-Latn-BA"/>
        </w:rPr>
        <w:t xml:space="preserve"> </w:t>
      </w:r>
      <w:r>
        <w:rPr>
          <w:lang w:val="bs-Latn-BA"/>
        </w:rPr>
        <w:t>Article 107 of the Law on Election of Councillors and Representatives, Official Gazette of the Republic of Montenegro</w:t>
      </w:r>
      <w:r w:rsidRPr="2B108C12">
        <w:t xml:space="preserve">, </w:t>
      </w:r>
      <w:r>
        <w:t>no</w:t>
      </w:r>
      <w:r w:rsidRPr="2B108C12">
        <w:t xml:space="preserve">. 16/2000 </w:t>
      </w:r>
      <w:r>
        <w:t>–</w:t>
      </w:r>
      <w:r w:rsidRPr="2B108C12">
        <w:t xml:space="preserve"> </w:t>
      </w:r>
      <w:r>
        <w:t>consolidated text</w:t>
      </w:r>
      <w:r w:rsidRPr="2B108C12">
        <w:t xml:space="preserve">, 9/2001, 41/2002, 46/2002, 45/2004 – </w:t>
      </w:r>
      <w:r>
        <w:t>decision of the Constitutional Court</w:t>
      </w:r>
      <w:r w:rsidRPr="2B108C12">
        <w:t xml:space="preserve">, 48/2006, 56/2006 - </w:t>
      </w:r>
      <w:r w:rsidRPr="00ED53CD">
        <w:t>decision of the Constitutional Court</w:t>
      </w:r>
      <w:r>
        <w:t xml:space="preserve"> and </w:t>
      </w:r>
      <w:r w:rsidRPr="00ED53CD">
        <w:rPr>
          <w:lang w:val="bs-Latn-BA"/>
        </w:rPr>
        <w:t>Official Gazette</w:t>
      </w:r>
      <w:r>
        <w:rPr>
          <w:lang w:val="bs-Latn-BA"/>
        </w:rPr>
        <w:t xml:space="preserve"> of Montenegro</w:t>
      </w:r>
      <w:r w:rsidRPr="2B108C12">
        <w:t xml:space="preserve">, </w:t>
      </w:r>
      <w:r>
        <w:t>no</w:t>
      </w:r>
      <w:r w:rsidRPr="2B108C12">
        <w:t xml:space="preserve">. 46/2011, 14/2014, 47/2014 - </w:t>
      </w:r>
      <w:r w:rsidRPr="00ED53CD">
        <w:t>decision of the Constitutional Court</w:t>
      </w:r>
      <w:r>
        <w:t xml:space="preserve">, 12/2016 - </w:t>
      </w:r>
      <w:r w:rsidRPr="00ED53CD">
        <w:t xml:space="preserve">decision of the Constitutional Court </w:t>
      </w:r>
      <w:r>
        <w:t xml:space="preserve">and 60/2017 - </w:t>
      </w:r>
      <w:r w:rsidRPr="00ED53CD">
        <w:t>decision of the Constitutional Court</w:t>
      </w:r>
      <w:r>
        <w:t>.</w:t>
      </w:r>
    </w:p>
    <w:p w:rsidRPr="00F53519" w:rsidR="004F3447" w:rsidP="00405E61" w:rsidRDefault="004F3447" w14:paraId="0DF048DA" w14:textId="77777777">
      <w:pPr>
        <w:pStyle w:val="FootnoteText"/>
        <w:rPr>
          <w:lang w:val="bs-Latn-BA"/>
        </w:rPr>
      </w:pPr>
    </w:p>
  </w:footnote>
  <w:footnote w:id="12">
    <w:p w:rsidRPr="006B4305" w:rsidR="004F3447" w:rsidP="00834F35" w:rsidRDefault="004F3447" w14:paraId="7FB17D70" w14:textId="6AF95766">
      <w:pPr>
        <w:pStyle w:val="FootnoteText"/>
        <w:rPr>
          <w:lang w:val="bs-Latn-BA"/>
        </w:rPr>
      </w:pPr>
      <w:r>
        <w:rPr>
          <w:rStyle w:val="FootnoteReference"/>
        </w:rPr>
        <w:footnoteRef/>
      </w:r>
      <w:r w:rsidRPr="00683923">
        <w:rPr>
          <w:lang w:val="bs-Latn-BA"/>
        </w:rPr>
        <w:t xml:space="preserve"> </w:t>
      </w:r>
      <w:r>
        <w:rPr>
          <w:lang w:val="bs-Latn-BA"/>
        </w:rPr>
        <w:t xml:space="preserve">OSCE/ODIHR, 2017, </w:t>
      </w:r>
      <w:r>
        <w:rPr>
          <w:i/>
          <w:iCs/>
          <w:lang w:val="bs-Latn-BA"/>
        </w:rPr>
        <w:t>Montenegro</w:t>
      </w:r>
      <w:r w:rsidRPr="2B108C12">
        <w:rPr>
          <w:i/>
          <w:iCs/>
          <w:lang w:val="bs-Latn-BA"/>
        </w:rPr>
        <w:t>, Parl</w:t>
      </w:r>
      <w:r>
        <w:rPr>
          <w:i/>
          <w:iCs/>
          <w:lang w:val="bs-Latn-BA"/>
        </w:rPr>
        <w:t>i</w:t>
      </w:r>
      <w:r w:rsidRPr="2B108C12">
        <w:rPr>
          <w:i/>
          <w:iCs/>
          <w:lang w:val="bs-Latn-BA"/>
        </w:rPr>
        <w:t>amentar</w:t>
      </w:r>
      <w:r>
        <w:rPr>
          <w:i/>
          <w:iCs/>
          <w:lang w:val="bs-Latn-BA"/>
        </w:rPr>
        <w:t>y elections</w:t>
      </w:r>
      <w:r w:rsidRPr="2B108C12">
        <w:rPr>
          <w:i/>
          <w:iCs/>
          <w:lang w:val="bs-Latn-BA"/>
        </w:rPr>
        <w:t xml:space="preserve">, </w:t>
      </w:r>
      <w:r w:rsidRPr="00F14441">
        <w:rPr>
          <w:i/>
          <w:iCs/>
        </w:rPr>
        <w:t>OSCE/ODIHR Election Observation Mission Final Report</w:t>
      </w:r>
      <w:r>
        <w:rPr>
          <w:lang w:val="bs-Latn-BA"/>
        </w:rPr>
        <w:t xml:space="preserve">. Available at </w:t>
      </w:r>
      <w:hyperlink w:history="1" r:id="rId6">
        <w:r w:rsidRPr="006F6562">
          <w:rPr>
            <w:rStyle w:val="Hyperlink"/>
            <w:lang w:val="bs-Latn-BA"/>
          </w:rPr>
          <w:t>https://www.osce.org/me/odihr/elections/montenegro/295781?download=true</w:t>
        </w:r>
      </w:hyperlink>
      <w:r>
        <w:rPr>
          <w:lang w:val="bs-Latn-BA"/>
        </w:rPr>
        <w:t xml:space="preserve">, Accessed 7 June 2018. </w:t>
      </w:r>
    </w:p>
  </w:footnote>
  <w:footnote w:id="13">
    <w:p w:rsidRPr="00BD1BA5" w:rsidR="004F3447" w:rsidP="00001226" w:rsidRDefault="004F3447" w14:paraId="7C245320" w14:textId="55777E92">
      <w:pPr>
        <w:pStyle w:val="FootnoteText"/>
        <w:rPr>
          <w:lang w:val="bs-Latn-BA"/>
        </w:rPr>
      </w:pPr>
      <w:r>
        <w:rPr>
          <w:rStyle w:val="FootnoteReference"/>
        </w:rPr>
        <w:footnoteRef/>
      </w:r>
      <w:r w:rsidRPr="00683923">
        <w:rPr>
          <w:lang w:val="bs-Latn-BA"/>
        </w:rPr>
        <w:t xml:space="preserve"> </w:t>
      </w:r>
      <w:r>
        <w:rPr>
          <w:lang w:val="bs-Latn-BA"/>
        </w:rPr>
        <w:t xml:space="preserve">Koprivica D, Kovačević M, 2017, </w:t>
      </w:r>
      <w:r w:rsidRPr="00EC2B2F">
        <w:rPr>
          <w:i/>
          <w:lang w:val="bs-Latn-BA"/>
        </w:rPr>
        <w:t>D</w:t>
      </w:r>
      <w:r w:rsidRPr="00EC2B2F">
        <w:rPr>
          <w:rFonts w:ascii="Calibri" w:hAnsi="Calibri" w:eastAsia="Calibri" w:cs="Calibri"/>
          <w:i/>
          <w:iCs/>
          <w:sz w:val="22"/>
          <w:szCs w:val="22"/>
          <w:lang w:val="bs-Latn-BA"/>
        </w:rPr>
        <w:t>epoliticized and efficient election administration - a prerequisite of having trust in election</w:t>
      </w:r>
      <w:r>
        <w:rPr>
          <w:rFonts w:ascii="Calibri" w:hAnsi="Calibri" w:eastAsia="Calibri" w:cs="Calibri"/>
          <w:i/>
          <w:iCs/>
          <w:sz w:val="22"/>
          <w:szCs w:val="22"/>
          <w:lang w:val="bs-Latn-BA"/>
        </w:rPr>
        <w:t>s</w:t>
      </w:r>
      <w:r>
        <w:rPr>
          <w:rFonts w:ascii="Calibri" w:hAnsi="Calibri" w:eastAsia="Calibri" w:cs="Calibri"/>
          <w:lang w:val="bs-Latn-BA"/>
        </w:rPr>
        <w:t xml:space="preserve">, Center for Democratic Transition.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F9"/>
    <w:multiLevelType w:val="hybridMultilevel"/>
    <w:tmpl w:val="07C09B4A"/>
    <w:lvl w:ilvl="0" w:tplc="CCD8F97C">
      <w:start w:val="1"/>
      <w:numFmt w:val="bullet"/>
      <w:lvlText w:val=""/>
      <w:lvlJc w:val="left"/>
      <w:pPr>
        <w:ind w:left="720" w:hanging="360"/>
      </w:pPr>
      <w:rPr>
        <w:rFonts w:hint="default" w:ascii="Symbol" w:hAnsi="Symbol"/>
      </w:rPr>
    </w:lvl>
    <w:lvl w:ilvl="1" w:tplc="CA4EC836">
      <w:start w:val="1"/>
      <w:numFmt w:val="bullet"/>
      <w:lvlText w:val="o"/>
      <w:lvlJc w:val="left"/>
      <w:pPr>
        <w:ind w:left="1440" w:hanging="360"/>
      </w:pPr>
      <w:rPr>
        <w:rFonts w:hint="default" w:ascii="Courier New" w:hAnsi="Courier New"/>
      </w:rPr>
    </w:lvl>
    <w:lvl w:ilvl="2" w:tplc="54A84CAE">
      <w:start w:val="1"/>
      <w:numFmt w:val="bullet"/>
      <w:lvlText w:val=""/>
      <w:lvlJc w:val="left"/>
      <w:pPr>
        <w:ind w:left="2160" w:hanging="360"/>
      </w:pPr>
      <w:rPr>
        <w:rFonts w:hint="default" w:ascii="Wingdings" w:hAnsi="Wingdings"/>
      </w:rPr>
    </w:lvl>
    <w:lvl w:ilvl="3" w:tplc="3E2EBDB2">
      <w:start w:val="1"/>
      <w:numFmt w:val="bullet"/>
      <w:lvlText w:val=""/>
      <w:lvlJc w:val="left"/>
      <w:pPr>
        <w:ind w:left="2880" w:hanging="360"/>
      </w:pPr>
      <w:rPr>
        <w:rFonts w:hint="default" w:ascii="Symbol" w:hAnsi="Symbol"/>
      </w:rPr>
    </w:lvl>
    <w:lvl w:ilvl="4" w:tplc="09AEC9D0">
      <w:start w:val="1"/>
      <w:numFmt w:val="bullet"/>
      <w:lvlText w:val="o"/>
      <w:lvlJc w:val="left"/>
      <w:pPr>
        <w:ind w:left="3600" w:hanging="360"/>
      </w:pPr>
      <w:rPr>
        <w:rFonts w:hint="default" w:ascii="Courier New" w:hAnsi="Courier New"/>
      </w:rPr>
    </w:lvl>
    <w:lvl w:ilvl="5" w:tplc="B5E48D58">
      <w:start w:val="1"/>
      <w:numFmt w:val="bullet"/>
      <w:lvlText w:val=""/>
      <w:lvlJc w:val="left"/>
      <w:pPr>
        <w:ind w:left="4320" w:hanging="360"/>
      </w:pPr>
      <w:rPr>
        <w:rFonts w:hint="default" w:ascii="Wingdings" w:hAnsi="Wingdings"/>
      </w:rPr>
    </w:lvl>
    <w:lvl w:ilvl="6" w:tplc="FF3069BE">
      <w:start w:val="1"/>
      <w:numFmt w:val="bullet"/>
      <w:lvlText w:val=""/>
      <w:lvlJc w:val="left"/>
      <w:pPr>
        <w:ind w:left="5040" w:hanging="360"/>
      </w:pPr>
      <w:rPr>
        <w:rFonts w:hint="default" w:ascii="Symbol" w:hAnsi="Symbol"/>
      </w:rPr>
    </w:lvl>
    <w:lvl w:ilvl="7" w:tplc="07F82246">
      <w:start w:val="1"/>
      <w:numFmt w:val="bullet"/>
      <w:lvlText w:val="o"/>
      <w:lvlJc w:val="left"/>
      <w:pPr>
        <w:ind w:left="5760" w:hanging="360"/>
      </w:pPr>
      <w:rPr>
        <w:rFonts w:hint="default" w:ascii="Courier New" w:hAnsi="Courier New"/>
      </w:rPr>
    </w:lvl>
    <w:lvl w:ilvl="8" w:tplc="2DAA556C">
      <w:start w:val="1"/>
      <w:numFmt w:val="bullet"/>
      <w:lvlText w:val=""/>
      <w:lvlJc w:val="left"/>
      <w:pPr>
        <w:ind w:left="6480" w:hanging="360"/>
      </w:pPr>
      <w:rPr>
        <w:rFonts w:hint="default" w:ascii="Wingdings" w:hAnsi="Wingdings"/>
      </w:rPr>
    </w:lvl>
  </w:abstractNum>
  <w:abstractNum w:abstractNumId="1">
    <w:nsid w:val="199D4CDF"/>
    <w:multiLevelType w:val="hybridMultilevel"/>
    <w:tmpl w:val="A7FE5A1E"/>
    <w:lvl w:ilvl="0" w:tplc="A8DA4FE2">
      <w:start w:val="1"/>
      <w:numFmt w:val="bullet"/>
      <w:lvlText w:val=""/>
      <w:lvlJc w:val="left"/>
      <w:pPr>
        <w:ind w:left="720" w:hanging="360"/>
      </w:pPr>
      <w:rPr>
        <w:rFonts w:hint="default" w:ascii="Symbol" w:hAnsi="Symbol"/>
      </w:rPr>
    </w:lvl>
    <w:lvl w:ilvl="1" w:tplc="F856BE58">
      <w:start w:val="1"/>
      <w:numFmt w:val="bullet"/>
      <w:lvlText w:val="o"/>
      <w:lvlJc w:val="left"/>
      <w:pPr>
        <w:ind w:left="1440" w:hanging="360"/>
      </w:pPr>
      <w:rPr>
        <w:rFonts w:hint="default" w:ascii="Courier New" w:hAnsi="Courier New"/>
      </w:rPr>
    </w:lvl>
    <w:lvl w:ilvl="2" w:tplc="C4C8ADE2">
      <w:start w:val="1"/>
      <w:numFmt w:val="bullet"/>
      <w:lvlText w:val=""/>
      <w:lvlJc w:val="left"/>
      <w:pPr>
        <w:ind w:left="2160" w:hanging="360"/>
      </w:pPr>
      <w:rPr>
        <w:rFonts w:hint="default" w:ascii="Wingdings" w:hAnsi="Wingdings"/>
      </w:rPr>
    </w:lvl>
    <w:lvl w:ilvl="3" w:tplc="4CCA5DCC">
      <w:start w:val="1"/>
      <w:numFmt w:val="bullet"/>
      <w:lvlText w:val=""/>
      <w:lvlJc w:val="left"/>
      <w:pPr>
        <w:ind w:left="2880" w:hanging="360"/>
      </w:pPr>
      <w:rPr>
        <w:rFonts w:hint="default" w:ascii="Symbol" w:hAnsi="Symbol"/>
      </w:rPr>
    </w:lvl>
    <w:lvl w:ilvl="4" w:tplc="EF706456">
      <w:start w:val="1"/>
      <w:numFmt w:val="bullet"/>
      <w:lvlText w:val="o"/>
      <w:lvlJc w:val="left"/>
      <w:pPr>
        <w:ind w:left="3600" w:hanging="360"/>
      </w:pPr>
      <w:rPr>
        <w:rFonts w:hint="default" w:ascii="Courier New" w:hAnsi="Courier New"/>
      </w:rPr>
    </w:lvl>
    <w:lvl w:ilvl="5" w:tplc="9A58CB98">
      <w:start w:val="1"/>
      <w:numFmt w:val="bullet"/>
      <w:lvlText w:val=""/>
      <w:lvlJc w:val="left"/>
      <w:pPr>
        <w:ind w:left="4320" w:hanging="360"/>
      </w:pPr>
      <w:rPr>
        <w:rFonts w:hint="default" w:ascii="Wingdings" w:hAnsi="Wingdings"/>
      </w:rPr>
    </w:lvl>
    <w:lvl w:ilvl="6" w:tplc="1E981BA8">
      <w:start w:val="1"/>
      <w:numFmt w:val="bullet"/>
      <w:lvlText w:val=""/>
      <w:lvlJc w:val="left"/>
      <w:pPr>
        <w:ind w:left="5040" w:hanging="360"/>
      </w:pPr>
      <w:rPr>
        <w:rFonts w:hint="default" w:ascii="Symbol" w:hAnsi="Symbol"/>
      </w:rPr>
    </w:lvl>
    <w:lvl w:ilvl="7" w:tplc="6F8A5A14">
      <w:start w:val="1"/>
      <w:numFmt w:val="bullet"/>
      <w:lvlText w:val="o"/>
      <w:lvlJc w:val="left"/>
      <w:pPr>
        <w:ind w:left="5760" w:hanging="360"/>
      </w:pPr>
      <w:rPr>
        <w:rFonts w:hint="default" w:ascii="Courier New" w:hAnsi="Courier New"/>
      </w:rPr>
    </w:lvl>
    <w:lvl w:ilvl="8" w:tplc="34868054">
      <w:start w:val="1"/>
      <w:numFmt w:val="bullet"/>
      <w:lvlText w:val=""/>
      <w:lvlJc w:val="left"/>
      <w:pPr>
        <w:ind w:left="6480" w:hanging="360"/>
      </w:pPr>
      <w:rPr>
        <w:rFonts w:hint="default" w:ascii="Wingdings" w:hAnsi="Wingdings"/>
      </w:rPr>
    </w:lvl>
  </w:abstractNum>
  <w:abstractNum w:abstractNumId="2">
    <w:nsid w:val="316D7121"/>
    <w:multiLevelType w:val="hybridMultilevel"/>
    <w:tmpl w:val="B3B6BACA"/>
    <w:lvl w:ilvl="0" w:tplc="49220E3E">
      <w:start w:val="1"/>
      <w:numFmt w:val="bullet"/>
      <w:lvlText w:val=""/>
      <w:lvlJc w:val="left"/>
      <w:pPr>
        <w:ind w:left="720" w:hanging="360"/>
      </w:pPr>
      <w:rPr>
        <w:rFonts w:hint="default" w:ascii="Symbol" w:hAnsi="Symbol"/>
      </w:rPr>
    </w:lvl>
    <w:lvl w:ilvl="1" w:tplc="B87608AE">
      <w:start w:val="1"/>
      <w:numFmt w:val="bullet"/>
      <w:lvlText w:val="o"/>
      <w:lvlJc w:val="left"/>
      <w:pPr>
        <w:ind w:left="1440" w:hanging="360"/>
      </w:pPr>
      <w:rPr>
        <w:rFonts w:hint="default" w:ascii="Courier New" w:hAnsi="Courier New"/>
      </w:rPr>
    </w:lvl>
    <w:lvl w:ilvl="2" w:tplc="5796A260">
      <w:start w:val="1"/>
      <w:numFmt w:val="bullet"/>
      <w:lvlText w:val=""/>
      <w:lvlJc w:val="left"/>
      <w:pPr>
        <w:ind w:left="2160" w:hanging="360"/>
      </w:pPr>
      <w:rPr>
        <w:rFonts w:hint="default" w:ascii="Wingdings" w:hAnsi="Wingdings"/>
      </w:rPr>
    </w:lvl>
    <w:lvl w:ilvl="3" w:tplc="A3A8E012">
      <w:start w:val="1"/>
      <w:numFmt w:val="bullet"/>
      <w:lvlText w:val=""/>
      <w:lvlJc w:val="left"/>
      <w:pPr>
        <w:ind w:left="2880" w:hanging="360"/>
      </w:pPr>
      <w:rPr>
        <w:rFonts w:hint="default" w:ascii="Symbol" w:hAnsi="Symbol"/>
      </w:rPr>
    </w:lvl>
    <w:lvl w:ilvl="4" w:tplc="CDF2400A">
      <w:start w:val="1"/>
      <w:numFmt w:val="bullet"/>
      <w:lvlText w:val="o"/>
      <w:lvlJc w:val="left"/>
      <w:pPr>
        <w:ind w:left="3600" w:hanging="360"/>
      </w:pPr>
      <w:rPr>
        <w:rFonts w:hint="default" w:ascii="Courier New" w:hAnsi="Courier New"/>
      </w:rPr>
    </w:lvl>
    <w:lvl w:ilvl="5" w:tplc="1068BC7C">
      <w:start w:val="1"/>
      <w:numFmt w:val="bullet"/>
      <w:lvlText w:val=""/>
      <w:lvlJc w:val="left"/>
      <w:pPr>
        <w:ind w:left="4320" w:hanging="360"/>
      </w:pPr>
      <w:rPr>
        <w:rFonts w:hint="default" w:ascii="Wingdings" w:hAnsi="Wingdings"/>
      </w:rPr>
    </w:lvl>
    <w:lvl w:ilvl="6" w:tplc="6084350C">
      <w:start w:val="1"/>
      <w:numFmt w:val="bullet"/>
      <w:lvlText w:val=""/>
      <w:lvlJc w:val="left"/>
      <w:pPr>
        <w:ind w:left="5040" w:hanging="360"/>
      </w:pPr>
      <w:rPr>
        <w:rFonts w:hint="default" w:ascii="Symbol" w:hAnsi="Symbol"/>
      </w:rPr>
    </w:lvl>
    <w:lvl w:ilvl="7" w:tplc="537C2F1A">
      <w:start w:val="1"/>
      <w:numFmt w:val="bullet"/>
      <w:lvlText w:val="o"/>
      <w:lvlJc w:val="left"/>
      <w:pPr>
        <w:ind w:left="5760" w:hanging="360"/>
      </w:pPr>
      <w:rPr>
        <w:rFonts w:hint="default" w:ascii="Courier New" w:hAnsi="Courier New"/>
      </w:rPr>
    </w:lvl>
    <w:lvl w:ilvl="8" w:tplc="496AED9E">
      <w:start w:val="1"/>
      <w:numFmt w:val="bullet"/>
      <w:lvlText w:val=""/>
      <w:lvlJc w:val="left"/>
      <w:pPr>
        <w:ind w:left="6480" w:hanging="360"/>
      </w:pPr>
      <w:rPr>
        <w:rFonts w:hint="default" w:ascii="Wingdings" w:hAnsi="Wingdings"/>
      </w:rPr>
    </w:lvl>
  </w:abstractNum>
  <w:abstractNum w:abstractNumId="3">
    <w:nsid w:val="50737FDD"/>
    <w:multiLevelType w:val="hybridMultilevel"/>
    <w:tmpl w:val="27D4660C"/>
    <w:lvl w:ilvl="0" w:tplc="34085FA6">
      <w:start w:val="1"/>
      <w:numFmt w:val="bullet"/>
      <w:lvlText w:val=""/>
      <w:lvlJc w:val="left"/>
      <w:pPr>
        <w:ind w:left="720" w:hanging="360"/>
      </w:pPr>
      <w:rPr>
        <w:rFonts w:hint="default" w:ascii="Symbol" w:hAnsi="Symbol"/>
      </w:rPr>
    </w:lvl>
    <w:lvl w:ilvl="1" w:tplc="C856278C">
      <w:start w:val="1"/>
      <w:numFmt w:val="bullet"/>
      <w:lvlText w:val="o"/>
      <w:lvlJc w:val="left"/>
      <w:pPr>
        <w:ind w:left="1440" w:hanging="360"/>
      </w:pPr>
      <w:rPr>
        <w:rFonts w:hint="default" w:ascii="Courier New" w:hAnsi="Courier New"/>
      </w:rPr>
    </w:lvl>
    <w:lvl w:ilvl="2" w:tplc="9FD67392">
      <w:start w:val="1"/>
      <w:numFmt w:val="bullet"/>
      <w:lvlText w:val=""/>
      <w:lvlJc w:val="left"/>
      <w:pPr>
        <w:ind w:left="2160" w:hanging="360"/>
      </w:pPr>
      <w:rPr>
        <w:rFonts w:hint="default" w:ascii="Wingdings" w:hAnsi="Wingdings"/>
      </w:rPr>
    </w:lvl>
    <w:lvl w:ilvl="3" w:tplc="3904D90A">
      <w:start w:val="1"/>
      <w:numFmt w:val="bullet"/>
      <w:lvlText w:val=""/>
      <w:lvlJc w:val="left"/>
      <w:pPr>
        <w:ind w:left="2880" w:hanging="360"/>
      </w:pPr>
      <w:rPr>
        <w:rFonts w:hint="default" w:ascii="Symbol" w:hAnsi="Symbol"/>
      </w:rPr>
    </w:lvl>
    <w:lvl w:ilvl="4" w:tplc="DC08AAFA">
      <w:start w:val="1"/>
      <w:numFmt w:val="bullet"/>
      <w:lvlText w:val="o"/>
      <w:lvlJc w:val="left"/>
      <w:pPr>
        <w:ind w:left="3600" w:hanging="360"/>
      </w:pPr>
      <w:rPr>
        <w:rFonts w:hint="default" w:ascii="Courier New" w:hAnsi="Courier New"/>
      </w:rPr>
    </w:lvl>
    <w:lvl w:ilvl="5" w:tplc="AFDE7174">
      <w:start w:val="1"/>
      <w:numFmt w:val="bullet"/>
      <w:lvlText w:val=""/>
      <w:lvlJc w:val="left"/>
      <w:pPr>
        <w:ind w:left="4320" w:hanging="360"/>
      </w:pPr>
      <w:rPr>
        <w:rFonts w:hint="default" w:ascii="Wingdings" w:hAnsi="Wingdings"/>
      </w:rPr>
    </w:lvl>
    <w:lvl w:ilvl="6" w:tplc="D8B4150A">
      <w:start w:val="1"/>
      <w:numFmt w:val="bullet"/>
      <w:lvlText w:val=""/>
      <w:lvlJc w:val="left"/>
      <w:pPr>
        <w:ind w:left="5040" w:hanging="360"/>
      </w:pPr>
      <w:rPr>
        <w:rFonts w:hint="default" w:ascii="Symbol" w:hAnsi="Symbol"/>
      </w:rPr>
    </w:lvl>
    <w:lvl w:ilvl="7" w:tplc="6B3EB58E">
      <w:start w:val="1"/>
      <w:numFmt w:val="bullet"/>
      <w:lvlText w:val="o"/>
      <w:lvlJc w:val="left"/>
      <w:pPr>
        <w:ind w:left="5760" w:hanging="360"/>
      </w:pPr>
      <w:rPr>
        <w:rFonts w:hint="default" w:ascii="Courier New" w:hAnsi="Courier New"/>
      </w:rPr>
    </w:lvl>
    <w:lvl w:ilvl="8" w:tplc="86F4DF58">
      <w:start w:val="1"/>
      <w:numFmt w:val="bullet"/>
      <w:lvlText w:val=""/>
      <w:lvlJc w:val="left"/>
      <w:pPr>
        <w:ind w:left="6480" w:hanging="360"/>
      </w:pPr>
      <w:rPr>
        <w:rFonts w:hint="default" w:ascii="Wingdings" w:hAnsi="Wingdings"/>
      </w:rPr>
    </w:lvl>
  </w:abstractNum>
  <w:abstractNum w:abstractNumId="4">
    <w:nsid w:val="60B24FA5"/>
    <w:multiLevelType w:val="hybridMultilevel"/>
    <w:tmpl w:val="74A68EBA"/>
    <w:lvl w:ilvl="0" w:tplc="0CD227EC">
      <w:start w:val="1"/>
      <w:numFmt w:val="bullet"/>
      <w:lvlText w:val=""/>
      <w:lvlJc w:val="left"/>
      <w:pPr>
        <w:ind w:left="720" w:hanging="360"/>
      </w:pPr>
      <w:rPr>
        <w:rFonts w:hint="default" w:ascii="Symbol" w:hAnsi="Symbol"/>
      </w:rPr>
    </w:lvl>
    <w:lvl w:ilvl="1" w:tplc="0778C3B8">
      <w:start w:val="1"/>
      <w:numFmt w:val="bullet"/>
      <w:lvlText w:val="o"/>
      <w:lvlJc w:val="left"/>
      <w:pPr>
        <w:ind w:left="1440" w:hanging="360"/>
      </w:pPr>
      <w:rPr>
        <w:rFonts w:hint="default" w:ascii="Courier New" w:hAnsi="Courier New"/>
      </w:rPr>
    </w:lvl>
    <w:lvl w:ilvl="2" w:tplc="098811A8">
      <w:start w:val="1"/>
      <w:numFmt w:val="bullet"/>
      <w:lvlText w:val=""/>
      <w:lvlJc w:val="left"/>
      <w:pPr>
        <w:ind w:left="2160" w:hanging="360"/>
      </w:pPr>
      <w:rPr>
        <w:rFonts w:hint="default" w:ascii="Wingdings" w:hAnsi="Wingdings"/>
      </w:rPr>
    </w:lvl>
    <w:lvl w:ilvl="3" w:tplc="D09C7A7C">
      <w:start w:val="1"/>
      <w:numFmt w:val="bullet"/>
      <w:lvlText w:val=""/>
      <w:lvlJc w:val="left"/>
      <w:pPr>
        <w:ind w:left="2880" w:hanging="360"/>
      </w:pPr>
      <w:rPr>
        <w:rFonts w:hint="default" w:ascii="Symbol" w:hAnsi="Symbol"/>
      </w:rPr>
    </w:lvl>
    <w:lvl w:ilvl="4" w:tplc="70CA907A">
      <w:start w:val="1"/>
      <w:numFmt w:val="bullet"/>
      <w:lvlText w:val="o"/>
      <w:lvlJc w:val="left"/>
      <w:pPr>
        <w:ind w:left="3600" w:hanging="360"/>
      </w:pPr>
      <w:rPr>
        <w:rFonts w:hint="default" w:ascii="Courier New" w:hAnsi="Courier New"/>
      </w:rPr>
    </w:lvl>
    <w:lvl w:ilvl="5" w:tplc="FB4E64F8">
      <w:start w:val="1"/>
      <w:numFmt w:val="bullet"/>
      <w:lvlText w:val=""/>
      <w:lvlJc w:val="left"/>
      <w:pPr>
        <w:ind w:left="4320" w:hanging="360"/>
      </w:pPr>
      <w:rPr>
        <w:rFonts w:hint="default" w:ascii="Wingdings" w:hAnsi="Wingdings"/>
      </w:rPr>
    </w:lvl>
    <w:lvl w:ilvl="6" w:tplc="D910D2DA">
      <w:start w:val="1"/>
      <w:numFmt w:val="bullet"/>
      <w:lvlText w:val=""/>
      <w:lvlJc w:val="left"/>
      <w:pPr>
        <w:ind w:left="5040" w:hanging="360"/>
      </w:pPr>
      <w:rPr>
        <w:rFonts w:hint="default" w:ascii="Symbol" w:hAnsi="Symbol"/>
      </w:rPr>
    </w:lvl>
    <w:lvl w:ilvl="7" w:tplc="9998C67A">
      <w:start w:val="1"/>
      <w:numFmt w:val="bullet"/>
      <w:lvlText w:val="o"/>
      <w:lvlJc w:val="left"/>
      <w:pPr>
        <w:ind w:left="5760" w:hanging="360"/>
      </w:pPr>
      <w:rPr>
        <w:rFonts w:hint="default" w:ascii="Courier New" w:hAnsi="Courier New"/>
      </w:rPr>
    </w:lvl>
    <w:lvl w:ilvl="8" w:tplc="D3089142">
      <w:start w:val="1"/>
      <w:numFmt w:val="bullet"/>
      <w:lvlText w:val=""/>
      <w:lvlJc w:val="left"/>
      <w:pPr>
        <w:ind w:left="6480" w:hanging="360"/>
      </w:pPr>
      <w:rPr>
        <w:rFonts w:hint="default" w:ascii="Wingdings" w:hAnsi="Wingdings"/>
      </w:rPr>
    </w:lvl>
  </w:abstractNum>
  <w:abstractNum w:abstractNumId="5">
    <w:nsid w:val="6E614785"/>
    <w:multiLevelType w:val="hybridMultilevel"/>
    <w:tmpl w:val="1ED66036"/>
    <w:lvl w:ilvl="0" w:tplc="82C2E8D6">
      <w:start w:val="1"/>
      <w:numFmt w:val="bullet"/>
      <w:lvlText w:val=""/>
      <w:lvlJc w:val="left"/>
      <w:pPr>
        <w:ind w:left="720" w:hanging="360"/>
      </w:pPr>
      <w:rPr>
        <w:rFonts w:hint="default" w:ascii="Symbol" w:hAnsi="Symbol"/>
      </w:rPr>
    </w:lvl>
    <w:lvl w:ilvl="1" w:tplc="E47E3AF6">
      <w:start w:val="1"/>
      <w:numFmt w:val="bullet"/>
      <w:lvlText w:val="o"/>
      <w:lvlJc w:val="left"/>
      <w:pPr>
        <w:ind w:left="1440" w:hanging="360"/>
      </w:pPr>
      <w:rPr>
        <w:rFonts w:hint="default" w:ascii="Courier New" w:hAnsi="Courier New"/>
      </w:rPr>
    </w:lvl>
    <w:lvl w:ilvl="2" w:tplc="593CBE72">
      <w:start w:val="1"/>
      <w:numFmt w:val="bullet"/>
      <w:lvlText w:val=""/>
      <w:lvlJc w:val="left"/>
      <w:pPr>
        <w:ind w:left="2160" w:hanging="360"/>
      </w:pPr>
      <w:rPr>
        <w:rFonts w:hint="default" w:ascii="Wingdings" w:hAnsi="Wingdings"/>
      </w:rPr>
    </w:lvl>
    <w:lvl w:ilvl="3" w:tplc="9B6895E8">
      <w:start w:val="1"/>
      <w:numFmt w:val="bullet"/>
      <w:lvlText w:val=""/>
      <w:lvlJc w:val="left"/>
      <w:pPr>
        <w:ind w:left="2880" w:hanging="360"/>
      </w:pPr>
      <w:rPr>
        <w:rFonts w:hint="default" w:ascii="Symbol" w:hAnsi="Symbol"/>
      </w:rPr>
    </w:lvl>
    <w:lvl w:ilvl="4" w:tplc="72325A9E">
      <w:start w:val="1"/>
      <w:numFmt w:val="bullet"/>
      <w:lvlText w:val="o"/>
      <w:lvlJc w:val="left"/>
      <w:pPr>
        <w:ind w:left="3600" w:hanging="360"/>
      </w:pPr>
      <w:rPr>
        <w:rFonts w:hint="default" w:ascii="Courier New" w:hAnsi="Courier New"/>
      </w:rPr>
    </w:lvl>
    <w:lvl w:ilvl="5" w:tplc="BB7C328E">
      <w:start w:val="1"/>
      <w:numFmt w:val="bullet"/>
      <w:lvlText w:val=""/>
      <w:lvlJc w:val="left"/>
      <w:pPr>
        <w:ind w:left="4320" w:hanging="360"/>
      </w:pPr>
      <w:rPr>
        <w:rFonts w:hint="default" w:ascii="Wingdings" w:hAnsi="Wingdings"/>
      </w:rPr>
    </w:lvl>
    <w:lvl w:ilvl="6" w:tplc="C3B0ABCC">
      <w:start w:val="1"/>
      <w:numFmt w:val="bullet"/>
      <w:lvlText w:val=""/>
      <w:lvlJc w:val="left"/>
      <w:pPr>
        <w:ind w:left="5040" w:hanging="360"/>
      </w:pPr>
      <w:rPr>
        <w:rFonts w:hint="default" w:ascii="Symbol" w:hAnsi="Symbol"/>
      </w:rPr>
    </w:lvl>
    <w:lvl w:ilvl="7" w:tplc="45DC9A2E">
      <w:start w:val="1"/>
      <w:numFmt w:val="bullet"/>
      <w:lvlText w:val="o"/>
      <w:lvlJc w:val="left"/>
      <w:pPr>
        <w:ind w:left="5760" w:hanging="360"/>
      </w:pPr>
      <w:rPr>
        <w:rFonts w:hint="default" w:ascii="Courier New" w:hAnsi="Courier New"/>
      </w:rPr>
    </w:lvl>
    <w:lvl w:ilvl="8" w:tplc="503EBB66">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mc="http://schemas.openxmlformats.org/markup-compatibility/2006" xmlns:w15="http://schemas.microsoft.com/office/word/2012/wordml" mc:Ignorable="w15">
  <w15:person w15:author="Milica Kovačević">
    <w15:presenceInfo w15:providerId="AD" w15:userId="S::milica@cdtmn.org::ddbfc3e5-921a-4426-9a01-92f54f119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94"/>
    <w:rsid w:val="00000E12"/>
    <w:rsid w:val="00001226"/>
    <w:rsid w:val="00001F00"/>
    <w:rsid w:val="00016A92"/>
    <w:rsid w:val="0001725D"/>
    <w:rsid w:val="0002129A"/>
    <w:rsid w:val="0002362A"/>
    <w:rsid w:val="0002457E"/>
    <w:rsid w:val="000445E9"/>
    <w:rsid w:val="00045952"/>
    <w:rsid w:val="00054F65"/>
    <w:rsid w:val="00063E6F"/>
    <w:rsid w:val="000846DE"/>
    <w:rsid w:val="0009710F"/>
    <w:rsid w:val="000A37A0"/>
    <w:rsid w:val="000D4B57"/>
    <w:rsid w:val="000F5482"/>
    <w:rsid w:val="001011AE"/>
    <w:rsid w:val="00122F3B"/>
    <w:rsid w:val="0013267C"/>
    <w:rsid w:val="001426A2"/>
    <w:rsid w:val="00146798"/>
    <w:rsid w:val="00183AF9"/>
    <w:rsid w:val="0018557D"/>
    <w:rsid w:val="00191DA3"/>
    <w:rsid w:val="001A0A1C"/>
    <w:rsid w:val="001A657E"/>
    <w:rsid w:val="001B1660"/>
    <w:rsid w:val="001C0F71"/>
    <w:rsid w:val="001C11A3"/>
    <w:rsid w:val="001C1E72"/>
    <w:rsid w:val="001D0B69"/>
    <w:rsid w:val="001D446E"/>
    <w:rsid w:val="001D553D"/>
    <w:rsid w:val="001D7FD0"/>
    <w:rsid w:val="001F527E"/>
    <w:rsid w:val="001F78B7"/>
    <w:rsid w:val="00210D50"/>
    <w:rsid w:val="002221C0"/>
    <w:rsid w:val="00236E20"/>
    <w:rsid w:val="00237882"/>
    <w:rsid w:val="00253DAA"/>
    <w:rsid w:val="002659F6"/>
    <w:rsid w:val="002705D1"/>
    <w:rsid w:val="0027243E"/>
    <w:rsid w:val="00273129"/>
    <w:rsid w:val="00287565"/>
    <w:rsid w:val="002976B3"/>
    <w:rsid w:val="002A4965"/>
    <w:rsid w:val="002A5C2F"/>
    <w:rsid w:val="002D6B54"/>
    <w:rsid w:val="002E25C8"/>
    <w:rsid w:val="002F156A"/>
    <w:rsid w:val="0030271A"/>
    <w:rsid w:val="0030480A"/>
    <w:rsid w:val="00326456"/>
    <w:rsid w:val="00330FF0"/>
    <w:rsid w:val="0033766B"/>
    <w:rsid w:val="00337A6F"/>
    <w:rsid w:val="00351430"/>
    <w:rsid w:val="00357B79"/>
    <w:rsid w:val="003645DF"/>
    <w:rsid w:val="00364A98"/>
    <w:rsid w:val="00371256"/>
    <w:rsid w:val="0037207E"/>
    <w:rsid w:val="0038641B"/>
    <w:rsid w:val="003A1B91"/>
    <w:rsid w:val="003C63C8"/>
    <w:rsid w:val="003D025A"/>
    <w:rsid w:val="003E0BE4"/>
    <w:rsid w:val="003F22C9"/>
    <w:rsid w:val="003F7A9C"/>
    <w:rsid w:val="00402DD5"/>
    <w:rsid w:val="00405E61"/>
    <w:rsid w:val="004105F1"/>
    <w:rsid w:val="0041677E"/>
    <w:rsid w:val="00425E46"/>
    <w:rsid w:val="00432C3B"/>
    <w:rsid w:val="00442BAD"/>
    <w:rsid w:val="004527E2"/>
    <w:rsid w:val="004672B3"/>
    <w:rsid w:val="00483010"/>
    <w:rsid w:val="0048383B"/>
    <w:rsid w:val="004B31E4"/>
    <w:rsid w:val="004F001E"/>
    <w:rsid w:val="004F3447"/>
    <w:rsid w:val="004F737D"/>
    <w:rsid w:val="00501665"/>
    <w:rsid w:val="00511A2E"/>
    <w:rsid w:val="005200DB"/>
    <w:rsid w:val="00541DB8"/>
    <w:rsid w:val="005425FB"/>
    <w:rsid w:val="00546077"/>
    <w:rsid w:val="005479A0"/>
    <w:rsid w:val="005564B1"/>
    <w:rsid w:val="0055659B"/>
    <w:rsid w:val="00557AB6"/>
    <w:rsid w:val="00571503"/>
    <w:rsid w:val="005E4539"/>
    <w:rsid w:val="005F79F7"/>
    <w:rsid w:val="00605012"/>
    <w:rsid w:val="006134A4"/>
    <w:rsid w:val="006165F8"/>
    <w:rsid w:val="00621A90"/>
    <w:rsid w:val="006228C1"/>
    <w:rsid w:val="00636C63"/>
    <w:rsid w:val="00640C27"/>
    <w:rsid w:val="00652BBD"/>
    <w:rsid w:val="006674C3"/>
    <w:rsid w:val="006679A6"/>
    <w:rsid w:val="00670514"/>
    <w:rsid w:val="00673EE3"/>
    <w:rsid w:val="00673F6D"/>
    <w:rsid w:val="00683923"/>
    <w:rsid w:val="00685728"/>
    <w:rsid w:val="00692427"/>
    <w:rsid w:val="00695E0A"/>
    <w:rsid w:val="006A07F2"/>
    <w:rsid w:val="006A2439"/>
    <w:rsid w:val="006A5FFD"/>
    <w:rsid w:val="006A681E"/>
    <w:rsid w:val="006B4305"/>
    <w:rsid w:val="006D1142"/>
    <w:rsid w:val="006E2E4A"/>
    <w:rsid w:val="006F34D7"/>
    <w:rsid w:val="006F3C4F"/>
    <w:rsid w:val="00704465"/>
    <w:rsid w:val="007168F4"/>
    <w:rsid w:val="00725747"/>
    <w:rsid w:val="00740C93"/>
    <w:rsid w:val="00753119"/>
    <w:rsid w:val="00755831"/>
    <w:rsid w:val="00766538"/>
    <w:rsid w:val="00770B78"/>
    <w:rsid w:val="0077318F"/>
    <w:rsid w:val="00777DA1"/>
    <w:rsid w:val="007829B7"/>
    <w:rsid w:val="00795605"/>
    <w:rsid w:val="007A54EC"/>
    <w:rsid w:val="007C02AE"/>
    <w:rsid w:val="007C6496"/>
    <w:rsid w:val="007D3BDC"/>
    <w:rsid w:val="007E4884"/>
    <w:rsid w:val="00817641"/>
    <w:rsid w:val="008200B6"/>
    <w:rsid w:val="008211A8"/>
    <w:rsid w:val="008257BA"/>
    <w:rsid w:val="00826D07"/>
    <w:rsid w:val="00834F35"/>
    <w:rsid w:val="00835383"/>
    <w:rsid w:val="00842A52"/>
    <w:rsid w:val="00851928"/>
    <w:rsid w:val="00852887"/>
    <w:rsid w:val="00866763"/>
    <w:rsid w:val="00873AA1"/>
    <w:rsid w:val="008A373E"/>
    <w:rsid w:val="008A6347"/>
    <w:rsid w:val="008B0733"/>
    <w:rsid w:val="008C61EF"/>
    <w:rsid w:val="008D0B53"/>
    <w:rsid w:val="008D0F14"/>
    <w:rsid w:val="008D2039"/>
    <w:rsid w:val="008F54D7"/>
    <w:rsid w:val="00900FED"/>
    <w:rsid w:val="00936C91"/>
    <w:rsid w:val="0097299A"/>
    <w:rsid w:val="00980931"/>
    <w:rsid w:val="00980F18"/>
    <w:rsid w:val="009A72F7"/>
    <w:rsid w:val="009C4A4D"/>
    <w:rsid w:val="009C63D8"/>
    <w:rsid w:val="009D3934"/>
    <w:rsid w:val="009E205A"/>
    <w:rsid w:val="009F09E6"/>
    <w:rsid w:val="009F3CDB"/>
    <w:rsid w:val="00A00BC7"/>
    <w:rsid w:val="00A02067"/>
    <w:rsid w:val="00A36EFC"/>
    <w:rsid w:val="00A406E4"/>
    <w:rsid w:val="00A427E5"/>
    <w:rsid w:val="00A4331F"/>
    <w:rsid w:val="00A44899"/>
    <w:rsid w:val="00A65134"/>
    <w:rsid w:val="00A709DD"/>
    <w:rsid w:val="00A7573D"/>
    <w:rsid w:val="00A76935"/>
    <w:rsid w:val="00A7731A"/>
    <w:rsid w:val="00A77E38"/>
    <w:rsid w:val="00A801B2"/>
    <w:rsid w:val="00A834D6"/>
    <w:rsid w:val="00A96AF4"/>
    <w:rsid w:val="00AB3D56"/>
    <w:rsid w:val="00AC3940"/>
    <w:rsid w:val="00AC5367"/>
    <w:rsid w:val="00AD045C"/>
    <w:rsid w:val="00AD17BB"/>
    <w:rsid w:val="00AD2E18"/>
    <w:rsid w:val="00AD4415"/>
    <w:rsid w:val="00AD6A4C"/>
    <w:rsid w:val="00AE14F8"/>
    <w:rsid w:val="00AE1B74"/>
    <w:rsid w:val="00AE49C9"/>
    <w:rsid w:val="00AE754A"/>
    <w:rsid w:val="00AF5811"/>
    <w:rsid w:val="00B001C8"/>
    <w:rsid w:val="00B030C3"/>
    <w:rsid w:val="00B04DC4"/>
    <w:rsid w:val="00B12DD6"/>
    <w:rsid w:val="00B17A3B"/>
    <w:rsid w:val="00B23055"/>
    <w:rsid w:val="00B34A30"/>
    <w:rsid w:val="00B35CC9"/>
    <w:rsid w:val="00B45F51"/>
    <w:rsid w:val="00B46AA5"/>
    <w:rsid w:val="00B7359A"/>
    <w:rsid w:val="00B85A17"/>
    <w:rsid w:val="00B85BF2"/>
    <w:rsid w:val="00B91C31"/>
    <w:rsid w:val="00B96591"/>
    <w:rsid w:val="00B9675D"/>
    <w:rsid w:val="00BA0E2E"/>
    <w:rsid w:val="00BA4DA4"/>
    <w:rsid w:val="00BD1BA5"/>
    <w:rsid w:val="00BD1FC0"/>
    <w:rsid w:val="00BD3B05"/>
    <w:rsid w:val="00BE305F"/>
    <w:rsid w:val="00BE4C6E"/>
    <w:rsid w:val="00BF5D35"/>
    <w:rsid w:val="00C105B5"/>
    <w:rsid w:val="00C152BA"/>
    <w:rsid w:val="00C214FD"/>
    <w:rsid w:val="00C23094"/>
    <w:rsid w:val="00C33444"/>
    <w:rsid w:val="00C430D0"/>
    <w:rsid w:val="00C47188"/>
    <w:rsid w:val="00C47B97"/>
    <w:rsid w:val="00C6146F"/>
    <w:rsid w:val="00C7303B"/>
    <w:rsid w:val="00C7504D"/>
    <w:rsid w:val="00C80EE1"/>
    <w:rsid w:val="00C8337B"/>
    <w:rsid w:val="00C85AD9"/>
    <w:rsid w:val="00CB2747"/>
    <w:rsid w:val="00CF4874"/>
    <w:rsid w:val="00D11A59"/>
    <w:rsid w:val="00D13CC4"/>
    <w:rsid w:val="00D14EC8"/>
    <w:rsid w:val="00D1540F"/>
    <w:rsid w:val="00D17407"/>
    <w:rsid w:val="00D176C5"/>
    <w:rsid w:val="00D24FFF"/>
    <w:rsid w:val="00D3297E"/>
    <w:rsid w:val="00D41A97"/>
    <w:rsid w:val="00D435F5"/>
    <w:rsid w:val="00D72C45"/>
    <w:rsid w:val="00D8022E"/>
    <w:rsid w:val="00D90AD8"/>
    <w:rsid w:val="00D9505C"/>
    <w:rsid w:val="00DD3F5D"/>
    <w:rsid w:val="00DD56CC"/>
    <w:rsid w:val="00DD6EBA"/>
    <w:rsid w:val="00DE3CE4"/>
    <w:rsid w:val="00DE7596"/>
    <w:rsid w:val="00DF7292"/>
    <w:rsid w:val="00E04303"/>
    <w:rsid w:val="00E15A29"/>
    <w:rsid w:val="00E15D95"/>
    <w:rsid w:val="00E227FE"/>
    <w:rsid w:val="00E2396B"/>
    <w:rsid w:val="00E43DEB"/>
    <w:rsid w:val="00E62F87"/>
    <w:rsid w:val="00E65FED"/>
    <w:rsid w:val="00E73327"/>
    <w:rsid w:val="00E92E74"/>
    <w:rsid w:val="00EA1ADD"/>
    <w:rsid w:val="00EB6392"/>
    <w:rsid w:val="00EC2B2F"/>
    <w:rsid w:val="00ED53CD"/>
    <w:rsid w:val="00EE7447"/>
    <w:rsid w:val="00EE74C2"/>
    <w:rsid w:val="00EF7730"/>
    <w:rsid w:val="00F14441"/>
    <w:rsid w:val="00F16A6F"/>
    <w:rsid w:val="00F17100"/>
    <w:rsid w:val="00F27BD8"/>
    <w:rsid w:val="00F3145F"/>
    <w:rsid w:val="00F32446"/>
    <w:rsid w:val="00F329D5"/>
    <w:rsid w:val="00F4796E"/>
    <w:rsid w:val="00F53519"/>
    <w:rsid w:val="00F66F9E"/>
    <w:rsid w:val="00F679BE"/>
    <w:rsid w:val="00F855CA"/>
    <w:rsid w:val="00FD0CAC"/>
    <w:rsid w:val="00FD4FA8"/>
    <w:rsid w:val="00FE25FD"/>
    <w:rsid w:val="00FE670D"/>
    <w:rsid w:val="00FF0FAE"/>
    <w:rsid w:val="00FF568A"/>
    <w:rsid w:val="00FF7367"/>
    <w:rsid w:val="0414E11B"/>
    <w:rsid w:val="0524E42C"/>
    <w:rsid w:val="18685F86"/>
    <w:rsid w:val="27C5E6BD"/>
    <w:rsid w:val="2B108C12"/>
    <w:rsid w:val="4EE24F47"/>
    <w:rsid w:val="680B5AD3"/>
    <w:rsid w:val="7F38A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C4F"/>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FD4FA8"/>
  </w:style>
  <w:style w:type="character" w:styleId="apple-converted-space" w:customStyle="1">
    <w:name w:val="apple-converted-space"/>
    <w:basedOn w:val="DefaultParagraphFont"/>
    <w:rsid w:val="00FD4FA8"/>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34A30"/>
    <w:rPr>
      <w:sz w:val="16"/>
      <w:szCs w:val="16"/>
    </w:rPr>
  </w:style>
  <w:style w:type="paragraph" w:styleId="CommentText">
    <w:name w:val="annotation text"/>
    <w:basedOn w:val="Normal"/>
    <w:link w:val="CommentTextChar"/>
    <w:uiPriority w:val="99"/>
    <w:semiHidden/>
    <w:unhideWhenUsed/>
    <w:rsid w:val="00B34A30"/>
    <w:pPr>
      <w:spacing w:line="240" w:lineRule="auto"/>
    </w:pPr>
    <w:rPr>
      <w:sz w:val="20"/>
      <w:szCs w:val="20"/>
    </w:rPr>
  </w:style>
  <w:style w:type="character" w:styleId="CommentTextChar" w:customStyle="1">
    <w:name w:val="Comment Text Char"/>
    <w:basedOn w:val="DefaultParagraphFont"/>
    <w:link w:val="CommentText"/>
    <w:uiPriority w:val="99"/>
    <w:semiHidden/>
    <w:rsid w:val="00B34A30"/>
    <w:rPr>
      <w:sz w:val="20"/>
      <w:szCs w:val="20"/>
    </w:rPr>
  </w:style>
  <w:style w:type="paragraph" w:styleId="CommentSubject">
    <w:name w:val="annotation subject"/>
    <w:basedOn w:val="CommentText"/>
    <w:next w:val="CommentText"/>
    <w:link w:val="CommentSubjectChar"/>
    <w:uiPriority w:val="99"/>
    <w:semiHidden/>
    <w:unhideWhenUsed/>
    <w:rsid w:val="00B34A30"/>
    <w:rPr>
      <w:b/>
      <w:bCs/>
    </w:rPr>
  </w:style>
  <w:style w:type="character" w:styleId="CommentSubjectChar" w:customStyle="1">
    <w:name w:val="Comment Subject Char"/>
    <w:basedOn w:val="CommentTextChar"/>
    <w:link w:val="CommentSubject"/>
    <w:uiPriority w:val="99"/>
    <w:semiHidden/>
    <w:rsid w:val="00B34A30"/>
    <w:rPr>
      <w:b/>
      <w:bCs/>
      <w:sz w:val="20"/>
      <w:szCs w:val="20"/>
    </w:rPr>
  </w:style>
  <w:style w:type="paragraph" w:styleId="BalloonText">
    <w:name w:val="Balloon Text"/>
    <w:basedOn w:val="Normal"/>
    <w:link w:val="BalloonTextChar"/>
    <w:uiPriority w:val="99"/>
    <w:semiHidden/>
    <w:unhideWhenUsed/>
    <w:rsid w:val="00B34A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4A30"/>
    <w:rPr>
      <w:rFonts w:ascii="Segoe UI" w:hAnsi="Segoe UI" w:cs="Segoe UI"/>
      <w:sz w:val="18"/>
      <w:szCs w:val="18"/>
    </w:rPr>
  </w:style>
  <w:style w:type="paragraph" w:styleId="FootnoteText">
    <w:name w:val="footnote text"/>
    <w:basedOn w:val="Normal"/>
    <w:link w:val="FootnoteTextChar"/>
    <w:uiPriority w:val="99"/>
    <w:unhideWhenUsed/>
    <w:rsid w:val="00B34A30"/>
    <w:pPr>
      <w:spacing w:after="0" w:line="240" w:lineRule="auto"/>
    </w:pPr>
    <w:rPr>
      <w:sz w:val="20"/>
      <w:szCs w:val="20"/>
    </w:rPr>
  </w:style>
  <w:style w:type="character" w:styleId="FootnoteTextChar" w:customStyle="1">
    <w:name w:val="Footnote Text Char"/>
    <w:basedOn w:val="DefaultParagraphFont"/>
    <w:link w:val="FootnoteText"/>
    <w:uiPriority w:val="99"/>
    <w:rsid w:val="00B34A30"/>
    <w:rPr>
      <w:sz w:val="20"/>
      <w:szCs w:val="20"/>
    </w:rPr>
  </w:style>
  <w:style w:type="character" w:styleId="FootnoteReference">
    <w:name w:val="footnote reference"/>
    <w:basedOn w:val="DefaultParagraphFont"/>
    <w:uiPriority w:val="99"/>
    <w:semiHidden/>
    <w:unhideWhenUsed/>
    <w:rsid w:val="00B34A30"/>
    <w:rPr>
      <w:vertAlign w:val="superscript"/>
    </w:rPr>
  </w:style>
  <w:style w:type="table" w:styleId="TableGrid">
    <w:name w:val="Table Grid"/>
    <w:basedOn w:val="TableNormal"/>
    <w:uiPriority w:val="39"/>
    <w:rsid w:val="00FF56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D7FD0"/>
    <w:rPr>
      <w:color w:val="0563C1" w:themeColor="hyperlink"/>
      <w:u w:val="single"/>
    </w:rPr>
  </w:style>
  <w:style w:type="character" w:styleId="FollowedHyperlink">
    <w:name w:val="FollowedHyperlink"/>
    <w:basedOn w:val="DefaultParagraphFont"/>
    <w:uiPriority w:val="99"/>
    <w:semiHidden/>
    <w:unhideWhenUsed/>
    <w:rsid w:val="00834F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D4FA8"/>
  </w:style>
  <w:style w:type="character" w:customStyle="1" w:styleId="apple-converted-space">
    <w:name w:val="apple-converted-space"/>
    <w:basedOn w:val="DefaultParagraphFont"/>
    <w:rsid w:val="00FD4FA8"/>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34A30"/>
    <w:rPr>
      <w:sz w:val="16"/>
      <w:szCs w:val="16"/>
    </w:rPr>
  </w:style>
  <w:style w:type="paragraph" w:styleId="CommentText">
    <w:name w:val="annotation text"/>
    <w:basedOn w:val="Normal"/>
    <w:link w:val="CommentTextChar"/>
    <w:uiPriority w:val="99"/>
    <w:semiHidden/>
    <w:unhideWhenUsed/>
    <w:rsid w:val="00B34A30"/>
    <w:pPr>
      <w:spacing w:line="240" w:lineRule="auto"/>
    </w:pPr>
    <w:rPr>
      <w:sz w:val="20"/>
      <w:szCs w:val="20"/>
    </w:rPr>
  </w:style>
  <w:style w:type="character" w:customStyle="1" w:styleId="CommentTextChar">
    <w:name w:val="Comment Text Char"/>
    <w:basedOn w:val="DefaultParagraphFont"/>
    <w:link w:val="CommentText"/>
    <w:uiPriority w:val="99"/>
    <w:semiHidden/>
    <w:rsid w:val="00B34A30"/>
    <w:rPr>
      <w:sz w:val="20"/>
      <w:szCs w:val="20"/>
    </w:rPr>
  </w:style>
  <w:style w:type="paragraph" w:styleId="CommentSubject">
    <w:name w:val="annotation subject"/>
    <w:basedOn w:val="CommentText"/>
    <w:next w:val="CommentText"/>
    <w:link w:val="CommentSubjectChar"/>
    <w:uiPriority w:val="99"/>
    <w:semiHidden/>
    <w:unhideWhenUsed/>
    <w:rsid w:val="00B34A30"/>
    <w:rPr>
      <w:b/>
      <w:bCs/>
    </w:rPr>
  </w:style>
  <w:style w:type="character" w:customStyle="1" w:styleId="CommentSubjectChar">
    <w:name w:val="Comment Subject Char"/>
    <w:basedOn w:val="CommentTextChar"/>
    <w:link w:val="CommentSubject"/>
    <w:uiPriority w:val="99"/>
    <w:semiHidden/>
    <w:rsid w:val="00B34A30"/>
    <w:rPr>
      <w:b/>
      <w:bCs/>
      <w:sz w:val="20"/>
      <w:szCs w:val="20"/>
    </w:rPr>
  </w:style>
  <w:style w:type="paragraph" w:styleId="BalloonText">
    <w:name w:val="Balloon Text"/>
    <w:basedOn w:val="Normal"/>
    <w:link w:val="BalloonTextChar"/>
    <w:uiPriority w:val="99"/>
    <w:semiHidden/>
    <w:unhideWhenUsed/>
    <w:rsid w:val="00B3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0"/>
    <w:rPr>
      <w:rFonts w:ascii="Segoe UI" w:hAnsi="Segoe UI" w:cs="Segoe UI"/>
      <w:sz w:val="18"/>
      <w:szCs w:val="18"/>
    </w:rPr>
  </w:style>
  <w:style w:type="paragraph" w:styleId="FootnoteText">
    <w:name w:val="footnote text"/>
    <w:basedOn w:val="Normal"/>
    <w:link w:val="FootnoteTextChar"/>
    <w:uiPriority w:val="99"/>
    <w:unhideWhenUsed/>
    <w:rsid w:val="00B34A30"/>
    <w:pPr>
      <w:spacing w:after="0" w:line="240" w:lineRule="auto"/>
    </w:pPr>
    <w:rPr>
      <w:sz w:val="20"/>
      <w:szCs w:val="20"/>
    </w:rPr>
  </w:style>
  <w:style w:type="character" w:customStyle="1" w:styleId="FootnoteTextChar">
    <w:name w:val="Footnote Text Char"/>
    <w:basedOn w:val="DefaultParagraphFont"/>
    <w:link w:val="FootnoteText"/>
    <w:uiPriority w:val="99"/>
    <w:rsid w:val="00B34A30"/>
    <w:rPr>
      <w:sz w:val="20"/>
      <w:szCs w:val="20"/>
    </w:rPr>
  </w:style>
  <w:style w:type="character" w:styleId="FootnoteReference">
    <w:name w:val="footnote reference"/>
    <w:basedOn w:val="DefaultParagraphFont"/>
    <w:uiPriority w:val="99"/>
    <w:semiHidden/>
    <w:unhideWhenUsed/>
    <w:rsid w:val="00B34A30"/>
    <w:rPr>
      <w:vertAlign w:val="superscript"/>
    </w:rPr>
  </w:style>
  <w:style w:type="table" w:styleId="TableGrid">
    <w:name w:val="Table Grid"/>
    <w:basedOn w:val="TableNormal"/>
    <w:uiPriority w:val="39"/>
    <w:rsid w:val="00F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FD0"/>
    <w:rPr>
      <w:color w:val="0563C1" w:themeColor="hyperlink"/>
      <w:u w:val="single"/>
    </w:rPr>
  </w:style>
  <w:style w:type="character" w:styleId="FollowedHyperlink">
    <w:name w:val="FollowedHyperlink"/>
    <w:basedOn w:val="DefaultParagraphFont"/>
    <w:uiPriority w:val="99"/>
    <w:semiHidden/>
    <w:unhideWhenUsed/>
    <w:rsid w:val="00834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434">
      <w:bodyDiv w:val="1"/>
      <w:marLeft w:val="0"/>
      <w:marRight w:val="0"/>
      <w:marTop w:val="0"/>
      <w:marBottom w:val="0"/>
      <w:divBdr>
        <w:top w:val="none" w:sz="0" w:space="0" w:color="auto"/>
        <w:left w:val="none" w:sz="0" w:space="0" w:color="auto"/>
        <w:bottom w:val="none" w:sz="0" w:space="0" w:color="auto"/>
        <w:right w:val="none" w:sz="0" w:space="0" w:color="auto"/>
      </w:divBdr>
    </w:div>
    <w:div w:id="17200453">
      <w:bodyDiv w:val="1"/>
      <w:marLeft w:val="0"/>
      <w:marRight w:val="0"/>
      <w:marTop w:val="0"/>
      <w:marBottom w:val="0"/>
      <w:divBdr>
        <w:top w:val="none" w:sz="0" w:space="0" w:color="auto"/>
        <w:left w:val="none" w:sz="0" w:space="0" w:color="auto"/>
        <w:bottom w:val="none" w:sz="0" w:space="0" w:color="auto"/>
        <w:right w:val="none" w:sz="0" w:space="0" w:color="auto"/>
      </w:divBdr>
    </w:div>
    <w:div w:id="264581873">
      <w:bodyDiv w:val="1"/>
      <w:marLeft w:val="0"/>
      <w:marRight w:val="0"/>
      <w:marTop w:val="0"/>
      <w:marBottom w:val="0"/>
      <w:divBdr>
        <w:top w:val="none" w:sz="0" w:space="0" w:color="auto"/>
        <w:left w:val="none" w:sz="0" w:space="0" w:color="auto"/>
        <w:bottom w:val="none" w:sz="0" w:space="0" w:color="auto"/>
        <w:right w:val="none" w:sz="0" w:space="0" w:color="auto"/>
      </w:divBdr>
    </w:div>
    <w:div w:id="320428060">
      <w:bodyDiv w:val="1"/>
      <w:marLeft w:val="0"/>
      <w:marRight w:val="0"/>
      <w:marTop w:val="0"/>
      <w:marBottom w:val="0"/>
      <w:divBdr>
        <w:top w:val="none" w:sz="0" w:space="0" w:color="auto"/>
        <w:left w:val="none" w:sz="0" w:space="0" w:color="auto"/>
        <w:bottom w:val="none" w:sz="0" w:space="0" w:color="auto"/>
        <w:right w:val="none" w:sz="0" w:space="0" w:color="auto"/>
      </w:divBdr>
    </w:div>
    <w:div w:id="327175873">
      <w:bodyDiv w:val="1"/>
      <w:marLeft w:val="0"/>
      <w:marRight w:val="0"/>
      <w:marTop w:val="0"/>
      <w:marBottom w:val="0"/>
      <w:divBdr>
        <w:top w:val="none" w:sz="0" w:space="0" w:color="auto"/>
        <w:left w:val="none" w:sz="0" w:space="0" w:color="auto"/>
        <w:bottom w:val="none" w:sz="0" w:space="0" w:color="auto"/>
        <w:right w:val="none" w:sz="0" w:space="0" w:color="auto"/>
      </w:divBdr>
    </w:div>
    <w:div w:id="368650568">
      <w:bodyDiv w:val="1"/>
      <w:marLeft w:val="0"/>
      <w:marRight w:val="0"/>
      <w:marTop w:val="0"/>
      <w:marBottom w:val="0"/>
      <w:divBdr>
        <w:top w:val="none" w:sz="0" w:space="0" w:color="auto"/>
        <w:left w:val="none" w:sz="0" w:space="0" w:color="auto"/>
        <w:bottom w:val="none" w:sz="0" w:space="0" w:color="auto"/>
        <w:right w:val="none" w:sz="0" w:space="0" w:color="auto"/>
      </w:divBdr>
    </w:div>
    <w:div w:id="540047725">
      <w:bodyDiv w:val="1"/>
      <w:marLeft w:val="0"/>
      <w:marRight w:val="0"/>
      <w:marTop w:val="0"/>
      <w:marBottom w:val="0"/>
      <w:divBdr>
        <w:top w:val="none" w:sz="0" w:space="0" w:color="auto"/>
        <w:left w:val="none" w:sz="0" w:space="0" w:color="auto"/>
        <w:bottom w:val="none" w:sz="0" w:space="0" w:color="auto"/>
        <w:right w:val="none" w:sz="0" w:space="0" w:color="auto"/>
      </w:divBdr>
    </w:div>
    <w:div w:id="782118774">
      <w:bodyDiv w:val="1"/>
      <w:marLeft w:val="0"/>
      <w:marRight w:val="0"/>
      <w:marTop w:val="0"/>
      <w:marBottom w:val="0"/>
      <w:divBdr>
        <w:top w:val="none" w:sz="0" w:space="0" w:color="auto"/>
        <w:left w:val="none" w:sz="0" w:space="0" w:color="auto"/>
        <w:bottom w:val="none" w:sz="0" w:space="0" w:color="auto"/>
        <w:right w:val="none" w:sz="0" w:space="0" w:color="auto"/>
      </w:divBdr>
    </w:div>
    <w:div w:id="845705232">
      <w:bodyDiv w:val="1"/>
      <w:marLeft w:val="0"/>
      <w:marRight w:val="0"/>
      <w:marTop w:val="0"/>
      <w:marBottom w:val="0"/>
      <w:divBdr>
        <w:top w:val="none" w:sz="0" w:space="0" w:color="auto"/>
        <w:left w:val="none" w:sz="0" w:space="0" w:color="auto"/>
        <w:bottom w:val="none" w:sz="0" w:space="0" w:color="auto"/>
        <w:right w:val="none" w:sz="0" w:space="0" w:color="auto"/>
      </w:divBdr>
    </w:div>
    <w:div w:id="880366542">
      <w:bodyDiv w:val="1"/>
      <w:marLeft w:val="0"/>
      <w:marRight w:val="0"/>
      <w:marTop w:val="0"/>
      <w:marBottom w:val="0"/>
      <w:divBdr>
        <w:top w:val="none" w:sz="0" w:space="0" w:color="auto"/>
        <w:left w:val="none" w:sz="0" w:space="0" w:color="auto"/>
        <w:bottom w:val="none" w:sz="0" w:space="0" w:color="auto"/>
        <w:right w:val="none" w:sz="0" w:space="0" w:color="auto"/>
      </w:divBdr>
    </w:div>
    <w:div w:id="944844571">
      <w:bodyDiv w:val="1"/>
      <w:marLeft w:val="0"/>
      <w:marRight w:val="0"/>
      <w:marTop w:val="0"/>
      <w:marBottom w:val="0"/>
      <w:divBdr>
        <w:top w:val="none" w:sz="0" w:space="0" w:color="auto"/>
        <w:left w:val="none" w:sz="0" w:space="0" w:color="auto"/>
        <w:bottom w:val="none" w:sz="0" w:space="0" w:color="auto"/>
        <w:right w:val="none" w:sz="0" w:space="0" w:color="auto"/>
      </w:divBdr>
    </w:div>
    <w:div w:id="1212880455">
      <w:bodyDiv w:val="1"/>
      <w:marLeft w:val="0"/>
      <w:marRight w:val="0"/>
      <w:marTop w:val="0"/>
      <w:marBottom w:val="0"/>
      <w:divBdr>
        <w:top w:val="none" w:sz="0" w:space="0" w:color="auto"/>
        <w:left w:val="none" w:sz="0" w:space="0" w:color="auto"/>
        <w:bottom w:val="none" w:sz="0" w:space="0" w:color="auto"/>
        <w:right w:val="none" w:sz="0" w:space="0" w:color="auto"/>
      </w:divBdr>
    </w:div>
    <w:div w:id="1323044440">
      <w:bodyDiv w:val="1"/>
      <w:marLeft w:val="0"/>
      <w:marRight w:val="0"/>
      <w:marTop w:val="0"/>
      <w:marBottom w:val="0"/>
      <w:divBdr>
        <w:top w:val="none" w:sz="0" w:space="0" w:color="auto"/>
        <w:left w:val="none" w:sz="0" w:space="0" w:color="auto"/>
        <w:bottom w:val="none" w:sz="0" w:space="0" w:color="auto"/>
        <w:right w:val="none" w:sz="0" w:space="0" w:color="auto"/>
      </w:divBdr>
    </w:div>
    <w:div w:id="1423330473">
      <w:bodyDiv w:val="1"/>
      <w:marLeft w:val="0"/>
      <w:marRight w:val="0"/>
      <w:marTop w:val="0"/>
      <w:marBottom w:val="0"/>
      <w:divBdr>
        <w:top w:val="none" w:sz="0" w:space="0" w:color="auto"/>
        <w:left w:val="none" w:sz="0" w:space="0" w:color="auto"/>
        <w:bottom w:val="none" w:sz="0" w:space="0" w:color="auto"/>
        <w:right w:val="none" w:sz="0" w:space="0" w:color="auto"/>
      </w:divBdr>
    </w:div>
    <w:div w:id="1714692386">
      <w:bodyDiv w:val="1"/>
      <w:marLeft w:val="0"/>
      <w:marRight w:val="0"/>
      <w:marTop w:val="0"/>
      <w:marBottom w:val="0"/>
      <w:divBdr>
        <w:top w:val="none" w:sz="0" w:space="0" w:color="auto"/>
        <w:left w:val="none" w:sz="0" w:space="0" w:color="auto"/>
        <w:bottom w:val="none" w:sz="0" w:space="0" w:color="auto"/>
        <w:right w:val="none" w:sz="0" w:space="0" w:color="auto"/>
      </w:divBdr>
    </w:div>
    <w:div w:id="1867058618">
      <w:bodyDiv w:val="1"/>
      <w:marLeft w:val="0"/>
      <w:marRight w:val="0"/>
      <w:marTop w:val="0"/>
      <w:marBottom w:val="0"/>
      <w:divBdr>
        <w:top w:val="none" w:sz="0" w:space="0" w:color="auto"/>
        <w:left w:val="none" w:sz="0" w:space="0" w:color="auto"/>
        <w:bottom w:val="none" w:sz="0" w:space="0" w:color="auto"/>
        <w:right w:val="none" w:sz="0" w:space="0" w:color="auto"/>
      </w:divBdr>
    </w:div>
    <w:div w:id="21169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cdtmn.org/dobroupravljanje/du-analize/procjena-napretka-cg-u-pregovorima-sa-eu-2017-predlog-prakticne-politike-ii-dio/" TargetMode="External" Id="rId13" /><Relationship Type="http://schemas.openxmlformats.org/officeDocument/2006/relationships/theme" Target="theme/theme1.xml" Id="rId18" /><Relationship Type="http://schemas.openxmlformats.org/officeDocument/2006/relationships/styles" Target="styles.xml" Id="rId3" /><Relationship Type="http://schemas.microsoft.com/office/2011/relationships/people" Target="people.xml" Id="R8ba2885eee994dbd" /><Relationship Type="http://schemas.openxmlformats.org/officeDocument/2006/relationships/footnotes" Target="footnotes.xml" Id="rId7" /><Relationship Type="http://schemas.openxmlformats.org/officeDocument/2006/relationships/hyperlink" Target="https://www.cdtmn.org/dobroupravljanje/du-analize/procjena-napretka-cg-u-pregovorima-sa-eu-2017-predlog-prakticne-politike/"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dtmn.org/eu/eu-analize/kako-poboljsati-sprovodjenje-strategije-suzbijanja-nasilnog-ekstremizma-2017-predlog-prakticne-politike/"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dtmn.org/izbori/izbori-analize/preporuke-za-unapredenje-rada-agencije/" TargetMode="External" Id="rId11" /><Relationship Type="http://schemas.openxmlformats.org/officeDocument/2006/relationships/settings" Target="settings.xml" Id="rId5" /><Relationship Type="http://schemas.openxmlformats.org/officeDocument/2006/relationships/hyperlink" Target="https://www.cdtmn.org/dobroupravljanje/du-analize/upravljanje-za-rezultate-na-lokalnom-nivou-2017-predlog-prakticne-politike/" TargetMode="External" Id="rId15" /><Relationship Type="http://schemas.microsoft.com/office/2011/relationships/commentsExtended" Target="commentsExtended.xml" Id="Rf7e1de1c611e47d5" /><Relationship Type="http://schemas.openxmlformats.org/officeDocument/2006/relationships/hyperlink" Target="https://www.cdtmn.org/wp-content/uploads/2017/02/DIK-Policy-01022017.pdf" TargetMode="External" Id="rId10" /><Relationship Type="http://schemas.microsoft.com/office/2007/relationships/stylesWithEffects" Target="stylesWithEffects.xml" Id="rId4" /><Relationship Type="http://schemas.openxmlformats.org/officeDocument/2006/relationships/hyperlink" Target="https://www.cdtmn.org/izbori/izbori-analize/preporuke-za-unapredjenje-izbornih-zakona-2017/" TargetMode="External" Id="rId9" /><Relationship Type="http://schemas.openxmlformats.org/officeDocument/2006/relationships/hyperlink" Target="https://www.cdtmn.org/dobroupravljanje/du-analize/predlog-prakticne-politike/"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dik.co.me/wp-content/uploads/2018/01/6.Pravila-o-glasanju-putem-pisma.pdf" TargetMode="External"/><Relationship Id="rId2" Type="http://schemas.openxmlformats.org/officeDocument/2006/relationships/hyperlink" Target="http://rezultati.dik.co.me/" TargetMode="External"/><Relationship Id="rId1" Type="http://schemas.openxmlformats.org/officeDocument/2006/relationships/hyperlink" Target="http://potpisi.dik.co.me/" TargetMode="External"/><Relationship Id="rId6" Type="http://schemas.openxmlformats.org/officeDocument/2006/relationships/hyperlink" Target="https://www.osce.org/me/odihr/elections/montenegro/295781?download=true" TargetMode="External"/><Relationship Id="rId5" Type="http://schemas.openxmlformats.org/officeDocument/2006/relationships/hyperlink" Target="http://www.biraci.me" TargetMode="External"/><Relationship Id="rId4" Type="http://schemas.openxmlformats.org/officeDocument/2006/relationships/hyperlink" Target="http://dik.co.me/izbori-za-predsjednika-crne-gore/edukacija-bi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E449-28B3-43F8-B239-DB406C4233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Milica Kovacevic</dc:creator>
  <keywords/>
  <dc:description/>
  <lastModifiedBy>Milica Bogdanovic</lastModifiedBy>
  <revision>229</revision>
  <dcterms:created xsi:type="dcterms:W3CDTF">2018-05-21T10:44:00.0000000Z</dcterms:created>
  <dcterms:modified xsi:type="dcterms:W3CDTF">2018-08-14T09:37:27.8705915Z</dcterms:modified>
</coreProperties>
</file>