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A25B" w14:textId="77777777" w:rsidR="00DD2396" w:rsidRPr="00692301" w:rsidRDefault="00DD2396" w:rsidP="00DD2396">
      <w:pPr>
        <w:ind w:left="7200"/>
        <w:jc w:val="both"/>
        <w:rPr>
          <w:sz w:val="12"/>
        </w:rPr>
      </w:pPr>
      <w:r w:rsidRPr="00692301">
        <w:rPr>
          <w:noProof/>
          <w:sz w:val="12"/>
          <w:lang w:eastAsia="en-GB"/>
        </w:rPr>
        <w:drawing>
          <wp:inline distT="0" distB="0" distL="0" distR="0" wp14:anchorId="60F45987" wp14:editId="191B6F21">
            <wp:extent cx="4286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625" cy="295275"/>
                    </a:xfrm>
                    <a:prstGeom prst="rect">
                      <a:avLst/>
                    </a:prstGeom>
                  </pic:spPr>
                </pic:pic>
              </a:graphicData>
            </a:graphic>
          </wp:inline>
        </w:drawing>
      </w:r>
    </w:p>
    <w:p w14:paraId="15012E37" w14:textId="77777777" w:rsidR="00DD2396" w:rsidRDefault="00DD2396" w:rsidP="00DD2396">
      <w:pPr>
        <w:ind w:left="7200"/>
        <w:jc w:val="both"/>
        <w:rPr>
          <w:sz w:val="12"/>
        </w:rPr>
      </w:pPr>
      <w:r w:rsidRPr="007733E3">
        <w:rPr>
          <w:sz w:val="12"/>
        </w:rPr>
        <w:t xml:space="preserve">This project is </w:t>
      </w:r>
      <w:r>
        <w:rPr>
          <w:sz w:val="12"/>
        </w:rPr>
        <w:t>f</w:t>
      </w:r>
      <w:r w:rsidRPr="007733E3">
        <w:rPr>
          <w:sz w:val="12"/>
        </w:rPr>
        <w:t>unded by the European Union</w:t>
      </w:r>
      <w:r>
        <w:rPr>
          <w:sz w:val="12"/>
        </w:rPr>
        <w:t xml:space="preserve">. </w:t>
      </w:r>
      <w:r w:rsidRPr="007733E3">
        <w:rPr>
          <w:sz w:val="12"/>
        </w:rPr>
        <w:t>This policy paper has been produced with the assistance of the European Union. T</w:t>
      </w:r>
      <w:r>
        <w:rPr>
          <w:sz w:val="12"/>
        </w:rPr>
        <w:t xml:space="preserve">he contents of this publication </w:t>
      </w:r>
      <w:r w:rsidRPr="007733E3">
        <w:rPr>
          <w:sz w:val="12"/>
        </w:rPr>
        <w:t xml:space="preserve">are the sole responsibility of the </w:t>
      </w:r>
      <w:proofErr w:type="spellStart"/>
      <w:r w:rsidRPr="007733E3">
        <w:rPr>
          <w:sz w:val="12"/>
        </w:rPr>
        <w:t>ActionSEE</w:t>
      </w:r>
      <w:proofErr w:type="spellEnd"/>
      <w:r w:rsidRPr="007733E3">
        <w:rPr>
          <w:sz w:val="12"/>
        </w:rPr>
        <w:t xml:space="preserve"> network and can in no way be taken to reflect the views of the European Union.</w:t>
      </w:r>
    </w:p>
    <w:p w14:paraId="6956AD73" w14:textId="77777777" w:rsidR="00DD2396" w:rsidRPr="00965A63" w:rsidRDefault="00DD2396" w:rsidP="00DD2396">
      <w:pPr>
        <w:jc w:val="both"/>
      </w:pPr>
    </w:p>
    <w:p w14:paraId="3D48FAD5" w14:textId="77777777" w:rsidR="00DD2396" w:rsidRPr="00965A63" w:rsidRDefault="00DD2396" w:rsidP="00DD2396">
      <w:pPr>
        <w:jc w:val="both"/>
      </w:pPr>
    </w:p>
    <w:p w14:paraId="34B564E7" w14:textId="55D1ED14" w:rsidR="00DD2396" w:rsidRPr="00C11FF9" w:rsidRDefault="00DD2396" w:rsidP="00DD2396">
      <w:pPr>
        <w:rPr>
          <w:b/>
          <w:bCs/>
          <w:lang w:val="en-US"/>
        </w:rPr>
      </w:pPr>
      <w:r w:rsidRPr="00C11FF9">
        <w:rPr>
          <w:b/>
          <w:bCs/>
          <w:lang w:val="en-US"/>
        </w:rPr>
        <w:t xml:space="preserve">OPENNESS OF </w:t>
      </w:r>
      <w:r>
        <w:rPr>
          <w:b/>
          <w:bCs/>
          <w:lang w:val="en-US"/>
        </w:rPr>
        <w:t>THE JUDICIARY</w:t>
      </w:r>
      <w:r w:rsidRPr="00C11FF9">
        <w:rPr>
          <w:b/>
          <w:bCs/>
          <w:lang w:val="en-US"/>
        </w:rPr>
        <w:t xml:space="preserve"> IN THE REGION AND MONTENEGRO</w:t>
      </w:r>
    </w:p>
    <w:p w14:paraId="2DECC55A" w14:textId="77777777" w:rsidR="00DD2396" w:rsidRPr="00C11FF9" w:rsidRDefault="00DD2396" w:rsidP="00DD2396">
      <w:pPr>
        <w:rPr>
          <w:b/>
          <w:bCs/>
          <w:lang w:val="en-US"/>
        </w:rPr>
      </w:pPr>
      <w:r w:rsidRPr="00C11FF9">
        <w:rPr>
          <w:b/>
          <w:bCs/>
          <w:lang w:val="en-US"/>
        </w:rPr>
        <w:t xml:space="preserve">Recommendations for improvement based on the Regional Openness Index </w:t>
      </w:r>
    </w:p>
    <w:p w14:paraId="6F5BDE34" w14:textId="77777777" w:rsidR="00DD2396" w:rsidRPr="00C11FF9" w:rsidRDefault="00DD2396" w:rsidP="00DD2396">
      <w:pPr>
        <w:rPr>
          <w:b/>
          <w:bCs/>
          <w:lang w:val="en-US"/>
        </w:rPr>
      </w:pPr>
      <w:r w:rsidRPr="00C11FF9">
        <w:rPr>
          <w:b/>
          <w:bCs/>
          <w:lang w:val="en-US"/>
        </w:rPr>
        <w:t xml:space="preserve">Authors: </w:t>
      </w:r>
      <w:proofErr w:type="spellStart"/>
      <w:r w:rsidRPr="00C11FF9">
        <w:rPr>
          <w:b/>
          <w:bCs/>
          <w:lang w:val="en-US"/>
        </w:rPr>
        <w:t>Dragan</w:t>
      </w:r>
      <w:proofErr w:type="spellEnd"/>
      <w:r w:rsidRPr="00C11FF9">
        <w:rPr>
          <w:b/>
          <w:bCs/>
          <w:lang w:val="en-US"/>
        </w:rPr>
        <w:t xml:space="preserve"> </w:t>
      </w:r>
      <w:proofErr w:type="spellStart"/>
      <w:r w:rsidRPr="00C11FF9">
        <w:rPr>
          <w:b/>
          <w:bCs/>
          <w:lang w:val="en-US"/>
        </w:rPr>
        <w:t>Koprivica</w:t>
      </w:r>
      <w:proofErr w:type="spellEnd"/>
      <w:r w:rsidRPr="00C11FF9">
        <w:rPr>
          <w:b/>
          <w:bCs/>
          <w:lang w:val="en-US"/>
        </w:rPr>
        <w:t xml:space="preserve">, Milena Gvozdenović and </w:t>
      </w:r>
      <w:proofErr w:type="spellStart"/>
      <w:r w:rsidRPr="00C11FF9">
        <w:rPr>
          <w:b/>
          <w:bCs/>
          <w:lang w:val="en-US"/>
        </w:rPr>
        <w:t>Biljana</w:t>
      </w:r>
      <w:proofErr w:type="spellEnd"/>
      <w:r w:rsidRPr="00C11FF9">
        <w:rPr>
          <w:b/>
          <w:bCs/>
          <w:lang w:val="en-US"/>
        </w:rPr>
        <w:t xml:space="preserve"> </w:t>
      </w:r>
      <w:proofErr w:type="spellStart"/>
      <w:r w:rsidRPr="00C11FF9">
        <w:rPr>
          <w:b/>
          <w:bCs/>
          <w:lang w:val="en-US"/>
        </w:rPr>
        <w:t>Papović</w:t>
      </w:r>
      <w:proofErr w:type="spellEnd"/>
    </w:p>
    <w:p w14:paraId="2C09D0D6" w14:textId="77777777" w:rsidR="00DD2396" w:rsidRPr="00692301" w:rsidRDefault="00DD2396" w:rsidP="00DD2396">
      <w:pPr>
        <w:jc w:val="both"/>
      </w:pPr>
    </w:p>
    <w:p w14:paraId="0F9D7F08" w14:textId="77777777" w:rsidR="00DD2396" w:rsidRPr="00692301" w:rsidRDefault="00DD2396" w:rsidP="00DD2396">
      <w:pPr>
        <w:jc w:val="both"/>
      </w:pPr>
    </w:p>
    <w:p w14:paraId="281F0EDB" w14:textId="77777777" w:rsidR="00DD2396" w:rsidRPr="00692301" w:rsidRDefault="00DD2396" w:rsidP="00DD2396">
      <w:pPr>
        <w:jc w:val="both"/>
      </w:pPr>
    </w:p>
    <w:p w14:paraId="4A899CD5" w14:textId="77777777" w:rsidR="00DD2396" w:rsidRPr="00692301" w:rsidRDefault="00DD2396" w:rsidP="00DD2396">
      <w:pPr>
        <w:jc w:val="both"/>
      </w:pPr>
    </w:p>
    <w:p w14:paraId="1C5276D7" w14:textId="77777777" w:rsidR="00DD2396" w:rsidRPr="00692301" w:rsidRDefault="00DD2396" w:rsidP="00DD2396">
      <w:pPr>
        <w:jc w:val="both"/>
      </w:pPr>
    </w:p>
    <w:p w14:paraId="22A5D951" w14:textId="77777777" w:rsidR="00DD2396" w:rsidRPr="00692301" w:rsidRDefault="00DD2396" w:rsidP="00DD2396">
      <w:pPr>
        <w:jc w:val="both"/>
      </w:pPr>
    </w:p>
    <w:p w14:paraId="4F8ECFA4" w14:textId="77777777" w:rsidR="00DD2396" w:rsidRPr="00692301" w:rsidRDefault="00DD2396" w:rsidP="00DD2396">
      <w:pPr>
        <w:jc w:val="both"/>
      </w:pPr>
    </w:p>
    <w:p w14:paraId="34C0B0E7" w14:textId="77777777" w:rsidR="00DD2396" w:rsidRPr="00692301" w:rsidRDefault="00DD2396" w:rsidP="00DD2396">
      <w:pPr>
        <w:jc w:val="both"/>
      </w:pPr>
    </w:p>
    <w:p w14:paraId="5F4F5E17" w14:textId="77777777" w:rsidR="00DD2396" w:rsidRPr="00692301" w:rsidRDefault="00DD2396" w:rsidP="00DD2396">
      <w:pPr>
        <w:jc w:val="both"/>
      </w:pPr>
    </w:p>
    <w:p w14:paraId="02D97FD6" w14:textId="77777777" w:rsidR="00DD2396" w:rsidRPr="00692301" w:rsidRDefault="00DD2396" w:rsidP="00DD2396">
      <w:pPr>
        <w:jc w:val="both"/>
      </w:pPr>
    </w:p>
    <w:p w14:paraId="6D09E24C" w14:textId="77777777" w:rsidR="00DD2396" w:rsidRPr="00692301" w:rsidRDefault="00DD2396" w:rsidP="00DD2396">
      <w:pPr>
        <w:jc w:val="both"/>
      </w:pPr>
    </w:p>
    <w:p w14:paraId="2F3B683C" w14:textId="77777777" w:rsidR="00DD2396" w:rsidRDefault="00DD2396" w:rsidP="00DD2396">
      <w:pPr>
        <w:jc w:val="both"/>
      </w:pPr>
    </w:p>
    <w:p w14:paraId="151AA27C" w14:textId="77777777" w:rsidR="00DD2396" w:rsidRDefault="00DD2396" w:rsidP="00DD2396">
      <w:pPr>
        <w:jc w:val="both"/>
      </w:pPr>
    </w:p>
    <w:p w14:paraId="39D83CF9" w14:textId="77777777" w:rsidR="00DD2396" w:rsidRDefault="00DD2396" w:rsidP="00DD2396">
      <w:pPr>
        <w:jc w:val="both"/>
      </w:pPr>
    </w:p>
    <w:p w14:paraId="5E205201" w14:textId="77777777" w:rsidR="00DD2396" w:rsidRDefault="00DD2396" w:rsidP="00DD2396">
      <w:pPr>
        <w:jc w:val="both"/>
      </w:pPr>
    </w:p>
    <w:p w14:paraId="18F6D84B" w14:textId="77777777" w:rsidR="00DD2396" w:rsidRDefault="00DD2396" w:rsidP="00DD2396">
      <w:pPr>
        <w:jc w:val="both"/>
      </w:pPr>
    </w:p>
    <w:p w14:paraId="50D46640" w14:textId="77777777" w:rsidR="00DD2396" w:rsidRDefault="00DD2396" w:rsidP="00DD2396">
      <w:pPr>
        <w:jc w:val="both"/>
      </w:pPr>
    </w:p>
    <w:p w14:paraId="6BC87885" w14:textId="77777777" w:rsidR="00DD2396" w:rsidRDefault="00DD2396" w:rsidP="00DD2396">
      <w:pPr>
        <w:jc w:val="both"/>
      </w:pPr>
    </w:p>
    <w:p w14:paraId="37A7F2B3" w14:textId="77777777" w:rsidR="00DD2396" w:rsidRDefault="00DD2396" w:rsidP="00DD2396">
      <w:pPr>
        <w:jc w:val="both"/>
      </w:pPr>
      <w:r>
        <w:rPr>
          <w:noProof/>
          <w:lang w:eastAsia="en-GB"/>
        </w:rPr>
        <w:drawing>
          <wp:inline distT="0" distB="0" distL="0" distR="0" wp14:anchorId="4C830BB8" wp14:editId="5A657DAA">
            <wp:extent cx="2847975" cy="706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1673" cy="709984"/>
                    </a:xfrm>
                    <a:prstGeom prst="rect">
                      <a:avLst/>
                    </a:prstGeom>
                  </pic:spPr>
                </pic:pic>
              </a:graphicData>
            </a:graphic>
          </wp:inline>
        </w:drawing>
      </w:r>
    </w:p>
    <w:p w14:paraId="4116997D" w14:textId="77777777" w:rsidR="00DD2396" w:rsidRDefault="00DD2396" w:rsidP="00DD2396">
      <w:pPr>
        <w:jc w:val="both"/>
      </w:pPr>
    </w:p>
    <w:p w14:paraId="1B0B2FCC" w14:textId="77777777" w:rsidR="00DD2396" w:rsidRDefault="00DD2396" w:rsidP="00DD2396">
      <w:pPr>
        <w:jc w:val="both"/>
      </w:pPr>
    </w:p>
    <w:p w14:paraId="1735615B" w14:textId="77777777" w:rsidR="00DD2396" w:rsidRDefault="00DD2396" w:rsidP="00DD2396">
      <w:pPr>
        <w:jc w:val="both"/>
      </w:pPr>
    </w:p>
    <w:p w14:paraId="75E49508" w14:textId="77777777" w:rsidR="00DD2396" w:rsidRDefault="00DD2396" w:rsidP="00DD2396">
      <w:pPr>
        <w:jc w:val="both"/>
        <w:rPr>
          <w:b/>
        </w:rPr>
      </w:pPr>
    </w:p>
    <w:p w14:paraId="5D363DDA" w14:textId="77777777" w:rsidR="00DD2396" w:rsidRDefault="00DD2396" w:rsidP="00DD2396">
      <w:pPr>
        <w:jc w:val="both"/>
        <w:rPr>
          <w:b/>
        </w:rPr>
      </w:pPr>
    </w:p>
    <w:p w14:paraId="04EFCE68" w14:textId="77777777" w:rsidR="00DD2396" w:rsidRDefault="00DD2396" w:rsidP="00DD2396">
      <w:pPr>
        <w:jc w:val="both"/>
        <w:rPr>
          <w:b/>
        </w:rPr>
      </w:pPr>
    </w:p>
    <w:p w14:paraId="7ECE2912" w14:textId="77777777" w:rsidR="00DD2396" w:rsidRDefault="00DD2396" w:rsidP="00DD2396">
      <w:pPr>
        <w:jc w:val="both"/>
        <w:rPr>
          <w:b/>
        </w:rPr>
      </w:pPr>
    </w:p>
    <w:p w14:paraId="6F3D9FEA" w14:textId="77777777" w:rsidR="00DD2396" w:rsidRPr="00C11FF9" w:rsidRDefault="00DD2396" w:rsidP="00DD2396">
      <w:pPr>
        <w:rPr>
          <w:b/>
          <w:bCs/>
          <w:lang w:val="en-US"/>
        </w:rPr>
      </w:pPr>
      <w:r w:rsidRPr="00C11FF9">
        <w:rPr>
          <w:b/>
          <w:bCs/>
          <w:lang w:val="en-US"/>
        </w:rPr>
        <w:t xml:space="preserve">Openness of </w:t>
      </w:r>
      <w:r>
        <w:rPr>
          <w:b/>
          <w:bCs/>
          <w:lang w:val="en-US"/>
        </w:rPr>
        <w:t>the judiciary</w:t>
      </w:r>
      <w:r w:rsidRPr="00C11FF9">
        <w:rPr>
          <w:b/>
          <w:bCs/>
          <w:lang w:val="en-US"/>
        </w:rPr>
        <w:t xml:space="preserve"> in the region and Montenegro</w:t>
      </w:r>
    </w:p>
    <w:p w14:paraId="2A2CD69C" w14:textId="77777777" w:rsidR="00DD2396" w:rsidRPr="00C11FF9" w:rsidRDefault="00DD2396" w:rsidP="00DD2396">
      <w:pPr>
        <w:rPr>
          <w:b/>
          <w:bCs/>
          <w:lang w:val="en-US"/>
        </w:rPr>
      </w:pPr>
      <w:r w:rsidRPr="00C11FF9">
        <w:rPr>
          <w:b/>
          <w:bCs/>
          <w:lang w:val="en-US"/>
        </w:rPr>
        <w:t xml:space="preserve">Recommendations for improvement based on the Regional Openness Index </w:t>
      </w:r>
    </w:p>
    <w:p w14:paraId="64155252" w14:textId="77777777" w:rsidR="00DD2396" w:rsidRPr="00E72938" w:rsidRDefault="00DD2396" w:rsidP="00DD2396">
      <w:pPr>
        <w:jc w:val="both"/>
      </w:pPr>
      <w:r w:rsidRPr="00E72938">
        <w:rPr>
          <w:b/>
        </w:rPr>
        <w:t>Authors:</w:t>
      </w:r>
      <w:r w:rsidRPr="00E72938">
        <w:t xml:space="preserve"> </w:t>
      </w:r>
      <w:proofErr w:type="spellStart"/>
      <w:r w:rsidRPr="00E72938">
        <w:t>Dragan</w:t>
      </w:r>
      <w:proofErr w:type="spellEnd"/>
      <w:r w:rsidRPr="00E72938">
        <w:t xml:space="preserve"> </w:t>
      </w:r>
      <w:proofErr w:type="spellStart"/>
      <w:r w:rsidRPr="00E72938">
        <w:t>Koprivica</w:t>
      </w:r>
      <w:proofErr w:type="spellEnd"/>
      <w:r w:rsidRPr="00E72938">
        <w:t xml:space="preserve">, Milena Gvozdenović and </w:t>
      </w:r>
      <w:proofErr w:type="spellStart"/>
      <w:r w:rsidRPr="00E72938">
        <w:t>Milica</w:t>
      </w:r>
      <w:proofErr w:type="spellEnd"/>
      <w:r w:rsidRPr="00E72938">
        <w:t xml:space="preserve"> </w:t>
      </w:r>
      <w:proofErr w:type="spellStart"/>
      <w:r w:rsidRPr="00E72938">
        <w:t>Kovačević</w:t>
      </w:r>
      <w:proofErr w:type="spellEnd"/>
    </w:p>
    <w:p w14:paraId="210400D0" w14:textId="77777777" w:rsidR="00DD2396" w:rsidRDefault="00DD2396" w:rsidP="00DD2396">
      <w:pPr>
        <w:jc w:val="both"/>
      </w:pPr>
    </w:p>
    <w:p w14:paraId="319FEA0E" w14:textId="77777777" w:rsidR="00DD2396" w:rsidRDefault="00DD2396" w:rsidP="00DD2396">
      <w:pPr>
        <w:jc w:val="both"/>
      </w:pPr>
    </w:p>
    <w:p w14:paraId="5EE2E14B" w14:textId="77777777" w:rsidR="00DD2396" w:rsidRDefault="00DD2396" w:rsidP="00DD2396">
      <w:pPr>
        <w:jc w:val="both"/>
      </w:pPr>
    </w:p>
    <w:p w14:paraId="40E9DBA7" w14:textId="77777777" w:rsidR="00DD2396" w:rsidRDefault="00DD2396" w:rsidP="00DD2396">
      <w:pPr>
        <w:jc w:val="both"/>
      </w:pPr>
    </w:p>
    <w:p w14:paraId="669C749A" w14:textId="77777777" w:rsidR="00DD2396" w:rsidRDefault="00DD2396" w:rsidP="00DD2396">
      <w:pPr>
        <w:jc w:val="both"/>
      </w:pPr>
    </w:p>
    <w:p w14:paraId="1B32171B" w14:textId="77777777" w:rsidR="00DD2396" w:rsidRDefault="00DD2396" w:rsidP="00DD2396">
      <w:pPr>
        <w:jc w:val="both"/>
      </w:pPr>
    </w:p>
    <w:p w14:paraId="6BAD3482" w14:textId="77777777" w:rsidR="00DD2396" w:rsidRDefault="00DD2396" w:rsidP="00DD2396">
      <w:pPr>
        <w:jc w:val="both"/>
      </w:pPr>
    </w:p>
    <w:p w14:paraId="6EC446ED" w14:textId="77777777" w:rsidR="00DD2396" w:rsidRDefault="00DD2396" w:rsidP="00DD2396">
      <w:pPr>
        <w:jc w:val="both"/>
      </w:pPr>
    </w:p>
    <w:p w14:paraId="7AE1DAEB" w14:textId="77777777" w:rsidR="00DD2396" w:rsidRDefault="00DD2396" w:rsidP="00DD2396">
      <w:pPr>
        <w:jc w:val="both"/>
      </w:pPr>
    </w:p>
    <w:p w14:paraId="45986E12" w14:textId="77777777" w:rsidR="00DD2396" w:rsidRPr="00692301" w:rsidRDefault="00DD2396" w:rsidP="00DD2396">
      <w:pPr>
        <w:jc w:val="both"/>
      </w:pPr>
    </w:p>
    <w:p w14:paraId="03C37665" w14:textId="77777777" w:rsidR="00DD2396" w:rsidRDefault="00DD2396" w:rsidP="00DD2396">
      <w:pPr>
        <w:jc w:val="both"/>
      </w:pPr>
      <w:r>
        <w:rPr>
          <w:noProof/>
          <w:lang w:eastAsia="en-GB"/>
        </w:rPr>
        <w:drawing>
          <wp:inline distT="0" distB="0" distL="0" distR="0" wp14:anchorId="0292CB36" wp14:editId="548A9209">
            <wp:extent cx="5038725" cy="876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8725" cy="876300"/>
                    </a:xfrm>
                    <a:prstGeom prst="rect">
                      <a:avLst/>
                    </a:prstGeom>
                  </pic:spPr>
                </pic:pic>
              </a:graphicData>
            </a:graphic>
          </wp:inline>
        </w:drawing>
      </w:r>
    </w:p>
    <w:p w14:paraId="7CA1A999" w14:textId="77777777" w:rsidR="00DD2396" w:rsidRDefault="00DD2396" w:rsidP="00DD2396">
      <w:pPr>
        <w:jc w:val="both"/>
      </w:pPr>
      <w:r>
        <w:t>Podgorica, September 2018</w:t>
      </w:r>
    </w:p>
    <w:p w14:paraId="20F26530" w14:textId="77777777" w:rsidR="00DD2396" w:rsidRDefault="00DD2396" w:rsidP="006C189A">
      <w:pPr>
        <w:rPr>
          <w:b/>
          <w:bCs/>
          <w:lang w:val="en-US"/>
        </w:rPr>
      </w:pPr>
    </w:p>
    <w:p w14:paraId="1531E93A" w14:textId="77777777" w:rsidR="00DD2396" w:rsidRDefault="00DD2396" w:rsidP="006C189A">
      <w:pPr>
        <w:rPr>
          <w:b/>
          <w:bCs/>
          <w:lang w:val="en-US"/>
        </w:rPr>
      </w:pPr>
    </w:p>
    <w:p w14:paraId="36CD25A5" w14:textId="77777777" w:rsidR="00DD2396" w:rsidRDefault="00DD2396" w:rsidP="006C189A">
      <w:pPr>
        <w:rPr>
          <w:b/>
          <w:bCs/>
          <w:lang w:val="en-US"/>
        </w:rPr>
      </w:pPr>
    </w:p>
    <w:p w14:paraId="772A0108" w14:textId="77777777" w:rsidR="00DD2396" w:rsidRDefault="00DD2396" w:rsidP="006C189A">
      <w:pPr>
        <w:rPr>
          <w:b/>
          <w:bCs/>
          <w:lang w:val="en-US"/>
        </w:rPr>
      </w:pPr>
    </w:p>
    <w:p w14:paraId="217684CC" w14:textId="77777777" w:rsidR="00DD2396" w:rsidRDefault="00DD2396" w:rsidP="006C189A">
      <w:pPr>
        <w:rPr>
          <w:b/>
          <w:bCs/>
          <w:lang w:val="en-US"/>
        </w:rPr>
      </w:pPr>
    </w:p>
    <w:p w14:paraId="5AD1475F" w14:textId="77777777" w:rsidR="00DD2396" w:rsidRDefault="00DD2396" w:rsidP="006C189A">
      <w:pPr>
        <w:rPr>
          <w:b/>
          <w:bCs/>
          <w:lang w:val="en-US"/>
        </w:rPr>
      </w:pPr>
    </w:p>
    <w:p w14:paraId="75BD4CE2" w14:textId="3AE6604C" w:rsidR="00F6196A" w:rsidRPr="00C11FF9" w:rsidRDefault="002B6452" w:rsidP="006C189A">
      <w:pPr>
        <w:rPr>
          <w:b/>
          <w:bCs/>
          <w:lang w:val="en-US"/>
        </w:rPr>
      </w:pPr>
      <w:r w:rsidRPr="00C11FF9">
        <w:rPr>
          <w:b/>
          <w:bCs/>
          <w:lang w:val="en-US"/>
        </w:rPr>
        <w:lastRenderedPageBreak/>
        <w:t>In</w:t>
      </w:r>
      <w:r w:rsidR="00E467BB" w:rsidRPr="00C11FF9">
        <w:rPr>
          <w:b/>
          <w:bCs/>
          <w:lang w:val="en-US"/>
        </w:rPr>
        <w:t>troduction</w:t>
      </w:r>
    </w:p>
    <w:p w14:paraId="1B202058" w14:textId="021C0BB3" w:rsidR="002B6452" w:rsidRPr="00C11FF9" w:rsidRDefault="002B6452" w:rsidP="006C189A">
      <w:pPr>
        <w:jc w:val="both"/>
        <w:rPr>
          <w:u w:val="single"/>
          <w:lang w:val="en-US"/>
        </w:rPr>
      </w:pPr>
      <w:r w:rsidRPr="00C11FF9">
        <w:rPr>
          <w:u w:val="single"/>
          <w:lang w:val="en-US"/>
        </w:rPr>
        <w:t>In cooperation with partners from a regional network of NGOs “Action SEE“, the Center for Democratic Transition (CDT) prepared the policy paper in which we analyze a level of transparency, openness and accountability of the judiciary in the Western Balkans region.</w:t>
      </w:r>
    </w:p>
    <w:p w14:paraId="6F50C6D6" w14:textId="77777777" w:rsidR="002B6452" w:rsidRPr="00C11FF9" w:rsidRDefault="002B6452" w:rsidP="006C189A">
      <w:pPr>
        <w:jc w:val="both"/>
        <w:rPr>
          <w:lang w:val="en-US"/>
        </w:rPr>
      </w:pPr>
      <w:r w:rsidRPr="00C11FF9">
        <w:rPr>
          <w:lang w:val="en-US"/>
        </w:rPr>
        <w:t>The policy paper is a result of research, based on scientific methodology, developed by the Action SEE members during the previous years. In preparing this document and measuring the openness that was the basis for its preparation, we have used innovative and improved success indicators.</w:t>
      </w:r>
    </w:p>
    <w:p w14:paraId="51648C32" w14:textId="06E3C2B7" w:rsidR="002B6452" w:rsidRPr="00C11FF9" w:rsidRDefault="002B6452" w:rsidP="006C189A">
      <w:pPr>
        <w:jc w:val="both"/>
        <w:rPr>
          <w:lang w:val="en-US"/>
        </w:rPr>
      </w:pPr>
      <w:r w:rsidRPr="00C11FF9">
        <w:rPr>
          <w:lang w:val="en-US"/>
        </w:rPr>
        <w:t>The aim of our activities is to determine the current state in this area through an objective measurement of openness of the judiciary in the region and to make recommendations for improvement. Also, the aim is to improve compliance with good governance principles, in which the openness has a significant place.</w:t>
      </w:r>
    </w:p>
    <w:p w14:paraId="611392E0" w14:textId="2D6BD071" w:rsidR="002B6452" w:rsidRPr="00C11FF9" w:rsidRDefault="002B6452" w:rsidP="006C189A">
      <w:pPr>
        <w:jc w:val="both"/>
        <w:rPr>
          <w:lang w:val="en-US"/>
        </w:rPr>
      </w:pPr>
      <w:r w:rsidRPr="00C11FF9">
        <w:rPr>
          <w:lang w:val="en-US"/>
        </w:rPr>
        <w:t>The policy paper, with accompanying analyzes, is the second such document. Action SEE members made recommendations for improvement of institutional openness even last year, following the research conducted. Based on the results of the research carried out in 2016, analyzes have been carried out to provide an overview of the situation in the institutions of Montenegro and the region, including the observed shortcomings and good practices in this area. Based on these analyzes, last year, recommendations and “road maps” were made to improve the specific areas covered by the research.</w:t>
      </w:r>
    </w:p>
    <w:p w14:paraId="57771849" w14:textId="29ABE95F" w:rsidR="002B6452" w:rsidRPr="00C11FF9" w:rsidRDefault="002B6452" w:rsidP="006C189A">
      <w:pPr>
        <w:jc w:val="both"/>
        <w:rPr>
          <w:lang w:val="en-US"/>
        </w:rPr>
      </w:pPr>
      <w:r w:rsidRPr="00C11FF9">
        <w:rPr>
          <w:lang w:val="en-US"/>
        </w:rPr>
        <w:t>The members of the Action SEE network, after basing their work on the findings and results of last year's monitoring, started to improve and adapt the research methodology and its indicators. The aim of using new and improved indicators is to add new value to research and to make a more effective contribution to enhancing the openness of the institutions of the region.</w:t>
      </w:r>
    </w:p>
    <w:p w14:paraId="506352CC" w14:textId="5C977E26" w:rsidR="002B6452" w:rsidRPr="00C11FF9" w:rsidRDefault="00EF2DAE" w:rsidP="006C189A">
      <w:pPr>
        <w:jc w:val="both"/>
        <w:rPr>
          <w:lang w:val="en-US"/>
        </w:rPr>
      </w:pPr>
      <w:r w:rsidRPr="00C11FF9">
        <w:rPr>
          <w:lang w:val="en-US"/>
        </w:rPr>
        <w:t xml:space="preserve">According to </w:t>
      </w:r>
      <w:r w:rsidR="002B6452" w:rsidRPr="00C11FF9">
        <w:rPr>
          <w:lang w:val="en-US"/>
        </w:rPr>
        <w:t xml:space="preserve">this year's </w:t>
      </w:r>
      <w:r w:rsidRPr="00C11FF9">
        <w:rPr>
          <w:lang w:val="en-US"/>
        </w:rPr>
        <w:t>research, the courts in the region meet</w:t>
      </w:r>
      <w:r w:rsidR="002B6452" w:rsidRPr="00C11FF9">
        <w:rPr>
          <w:lang w:val="en-US"/>
        </w:rPr>
        <w:t xml:space="preserve"> almost 42%, and the prosecutor's office</w:t>
      </w:r>
      <w:r w:rsidRPr="00C11FF9">
        <w:rPr>
          <w:lang w:val="en-US"/>
        </w:rPr>
        <w:t>s</w:t>
      </w:r>
      <w:r w:rsidR="002B6452" w:rsidRPr="00C11FF9">
        <w:rPr>
          <w:lang w:val="en-US"/>
        </w:rPr>
        <w:t xml:space="preserve"> 31% of the openness indicators. Challenges of ongoing reforms of these bodies across the region, as well as a low level of transparency, do not indicate that concrete efforts are being undertaken to promote openness and transparency. Openness is not only the goal of the executive and legislative </w:t>
      </w:r>
      <w:r w:rsidRPr="00C11FF9">
        <w:rPr>
          <w:lang w:val="en-US"/>
        </w:rPr>
        <w:t>power</w:t>
      </w:r>
      <w:r w:rsidR="002B6452" w:rsidRPr="00C11FF9">
        <w:rPr>
          <w:lang w:val="en-US"/>
        </w:rPr>
        <w:t xml:space="preserve">, but also the need for </w:t>
      </w:r>
      <w:r w:rsidRPr="00C11FF9">
        <w:rPr>
          <w:lang w:val="en-US"/>
        </w:rPr>
        <w:t>the judiciary</w:t>
      </w:r>
      <w:r w:rsidR="002B6452" w:rsidRPr="00C11FF9">
        <w:rPr>
          <w:lang w:val="en-US"/>
        </w:rPr>
        <w:t xml:space="preserve"> to gain insight into ways in which the rule of law and democracy can be improved.</w:t>
      </w:r>
      <w:r w:rsidRPr="00C11FF9">
        <w:rPr>
          <w:rStyle w:val="FootnoteReference"/>
          <w:lang w:val="en-US"/>
        </w:rPr>
        <w:footnoteReference w:id="1"/>
      </w:r>
    </w:p>
    <w:p w14:paraId="39CE3805" w14:textId="605D6C0E" w:rsidR="007668AE" w:rsidRPr="00C11FF9" w:rsidRDefault="002B6452" w:rsidP="006C189A">
      <w:pPr>
        <w:jc w:val="both"/>
        <w:rPr>
          <w:lang w:val="en-US"/>
        </w:rPr>
      </w:pPr>
      <w:r w:rsidRPr="00C11FF9">
        <w:rPr>
          <w:lang w:val="en-US"/>
        </w:rPr>
        <w:t>Specific</w:t>
      </w:r>
      <w:r w:rsidR="007668AE" w:rsidRPr="00C11FF9">
        <w:rPr>
          <w:lang w:val="en-US"/>
        </w:rPr>
        <w:t xml:space="preserve"> and urgent steps need to be taken</w:t>
      </w:r>
      <w:r w:rsidRPr="00C11FF9">
        <w:rPr>
          <w:lang w:val="en-US"/>
        </w:rPr>
        <w:t xml:space="preserve"> in order</w:t>
      </w:r>
      <w:r w:rsidR="003E04EC">
        <w:rPr>
          <w:lang w:val="en-US"/>
        </w:rPr>
        <w:t xml:space="preserve"> to improve</w:t>
      </w:r>
      <w:r w:rsidR="007668AE" w:rsidRPr="00C11FF9">
        <w:rPr>
          <w:lang w:val="en-US"/>
        </w:rPr>
        <w:t xml:space="preserve"> openness of the judiciary in the region, thereby contributing to building public </w:t>
      </w:r>
      <w:r w:rsidRPr="00C11FF9">
        <w:rPr>
          <w:lang w:val="en-US"/>
        </w:rPr>
        <w:t>trust</w:t>
      </w:r>
      <w:r w:rsidR="007668AE" w:rsidRPr="00C11FF9">
        <w:rPr>
          <w:lang w:val="en-US"/>
        </w:rPr>
        <w:t xml:space="preserve"> in the judiciary.</w:t>
      </w:r>
    </w:p>
    <w:p w14:paraId="08A04564" w14:textId="69747628" w:rsidR="002B6452" w:rsidRPr="00C11FF9" w:rsidRDefault="002B6452" w:rsidP="006C189A">
      <w:pPr>
        <w:jc w:val="both"/>
        <w:rPr>
          <w:lang w:val="en-US"/>
        </w:rPr>
      </w:pPr>
      <w:r w:rsidRPr="00C11FF9">
        <w:rPr>
          <w:lang w:val="en-US"/>
        </w:rPr>
        <w:t>Our policy paper is addressed to decision-makers in courts and prosecutors' offices of the countries in the region. It may also be of benefit to representatives of international organizations, as well as to colleagues from the NGO sector dealing with these issues.</w:t>
      </w:r>
    </w:p>
    <w:p w14:paraId="0F5E5566" w14:textId="77777777" w:rsidR="002B6452" w:rsidRPr="00C11FF9" w:rsidRDefault="002B6452" w:rsidP="006C189A">
      <w:pPr>
        <w:jc w:val="both"/>
        <w:rPr>
          <w:lang w:val="en-US"/>
        </w:rPr>
      </w:pPr>
      <w:r w:rsidRPr="00C11FF9">
        <w:rPr>
          <w:lang w:val="en-US"/>
        </w:rPr>
        <w:t>We remain open to all suggestions, well-meaning criticisms and discussions regarding the policy paper.</w:t>
      </w:r>
    </w:p>
    <w:p w14:paraId="441E494B" w14:textId="77777777" w:rsidR="00C30CBE" w:rsidRPr="00C11FF9" w:rsidRDefault="00C30CBE" w:rsidP="006C189A">
      <w:pPr>
        <w:jc w:val="both"/>
        <w:rPr>
          <w:lang w:val="en-US"/>
        </w:rPr>
      </w:pPr>
    </w:p>
    <w:p w14:paraId="3597998E" w14:textId="4B5148AC" w:rsidR="0093634C" w:rsidRPr="00C11FF9" w:rsidRDefault="00EF2DAE" w:rsidP="006C189A">
      <w:pPr>
        <w:jc w:val="both"/>
        <w:rPr>
          <w:lang w:val="en-US"/>
        </w:rPr>
      </w:pPr>
      <w:r w:rsidRPr="00C11FF9">
        <w:rPr>
          <w:lang w:val="en-US"/>
        </w:rPr>
        <w:t>OPENNESS OF COURTS AND PROSECUTOR’S OFFICES IN THE REGION</w:t>
      </w:r>
    </w:p>
    <w:p w14:paraId="2410F158" w14:textId="2D87ABB6" w:rsidR="007668AE" w:rsidRPr="00C11FF9" w:rsidRDefault="00EF2DAE" w:rsidP="006C189A">
      <w:pPr>
        <w:jc w:val="both"/>
        <w:rPr>
          <w:lang w:val="en-US"/>
        </w:rPr>
      </w:pPr>
      <w:r w:rsidRPr="00C11FF9">
        <w:rPr>
          <w:lang w:val="en-US"/>
        </w:rPr>
        <w:lastRenderedPageBreak/>
        <w:t>O</w:t>
      </w:r>
      <w:r w:rsidR="007668AE" w:rsidRPr="00C11FF9">
        <w:rPr>
          <w:lang w:val="en-US"/>
        </w:rPr>
        <w:t>penness of courts and prosecutor</w:t>
      </w:r>
      <w:r w:rsidRPr="00C11FF9">
        <w:rPr>
          <w:lang w:val="en-US"/>
        </w:rPr>
        <w:t>’</w:t>
      </w:r>
      <w:r w:rsidR="007668AE" w:rsidRPr="00C11FF9">
        <w:rPr>
          <w:lang w:val="en-US"/>
        </w:rPr>
        <w:t>s</w:t>
      </w:r>
      <w:r w:rsidRPr="00C11FF9">
        <w:rPr>
          <w:lang w:val="en-US"/>
        </w:rPr>
        <w:t xml:space="preserve"> offices</w:t>
      </w:r>
      <w:r w:rsidR="007668AE" w:rsidRPr="00C11FF9">
        <w:rPr>
          <w:lang w:val="en-US"/>
        </w:rPr>
        <w:t xml:space="preserve"> in the region is not at a satisfactory level. Courts in the region </w:t>
      </w:r>
      <w:r w:rsidRPr="00C11FF9">
        <w:rPr>
          <w:lang w:val="en-US"/>
        </w:rPr>
        <w:t xml:space="preserve">meet on </w:t>
      </w:r>
      <w:r w:rsidR="007668AE" w:rsidRPr="00C11FF9">
        <w:rPr>
          <w:lang w:val="en-US"/>
        </w:rPr>
        <w:t>average 42%, and prosecutor</w:t>
      </w:r>
      <w:r w:rsidRPr="00C11FF9">
        <w:rPr>
          <w:lang w:val="en-US"/>
        </w:rPr>
        <w:t>’</w:t>
      </w:r>
      <w:r w:rsidR="007668AE" w:rsidRPr="00C11FF9">
        <w:rPr>
          <w:lang w:val="en-US"/>
        </w:rPr>
        <w:t>s</w:t>
      </w:r>
      <w:r w:rsidRPr="00C11FF9">
        <w:rPr>
          <w:lang w:val="en-US"/>
        </w:rPr>
        <w:t xml:space="preserve"> offices</w:t>
      </w:r>
      <w:r w:rsidR="007668AE" w:rsidRPr="00C11FF9">
        <w:rPr>
          <w:lang w:val="en-US"/>
        </w:rPr>
        <w:t xml:space="preserve"> 31% of the openness indicators. </w:t>
      </w:r>
      <w:r w:rsidR="0068653D">
        <w:rPr>
          <w:lang w:val="en-US"/>
        </w:rPr>
        <w:t>We noted s</w:t>
      </w:r>
      <w:r w:rsidR="007668AE" w:rsidRPr="00C11FF9">
        <w:rPr>
          <w:lang w:val="en-US"/>
        </w:rPr>
        <w:t>ignificant differences in the level of openness between judicial bodies in the countries of the Western Balkans.</w:t>
      </w:r>
    </w:p>
    <w:p w14:paraId="7D6F0000" w14:textId="087413D9" w:rsidR="00915DDC" w:rsidRPr="00C11FF9" w:rsidRDefault="007668AE" w:rsidP="006C189A">
      <w:pPr>
        <w:jc w:val="both"/>
        <w:rPr>
          <w:lang w:val="en-US"/>
        </w:rPr>
      </w:pPr>
      <w:r w:rsidRPr="00C11FF9">
        <w:rPr>
          <w:lang w:val="en-US"/>
        </w:rPr>
        <w:t xml:space="preserve">It should be noted that this year's </w:t>
      </w:r>
      <w:r w:rsidR="00EF2DAE" w:rsidRPr="00C11FF9">
        <w:rPr>
          <w:lang w:val="en-US"/>
        </w:rPr>
        <w:t>research included</w:t>
      </w:r>
      <w:r w:rsidRPr="00C11FF9">
        <w:rPr>
          <w:lang w:val="en-US"/>
        </w:rPr>
        <w:t xml:space="preserve"> and advocated a </w:t>
      </w:r>
      <w:r w:rsidR="0065239D">
        <w:rPr>
          <w:lang w:val="en-US"/>
        </w:rPr>
        <w:t>higher</w:t>
      </w:r>
      <w:r w:rsidRPr="00C11FF9">
        <w:rPr>
          <w:lang w:val="en-US"/>
        </w:rPr>
        <w:t xml:space="preserve"> degree of openness of institutions compared to </w:t>
      </w:r>
      <w:r w:rsidR="00EF2DAE" w:rsidRPr="00C11FF9">
        <w:rPr>
          <w:lang w:val="en-US"/>
        </w:rPr>
        <w:t xml:space="preserve">the </w:t>
      </w:r>
      <w:r w:rsidRPr="00C11FF9">
        <w:rPr>
          <w:lang w:val="en-US"/>
        </w:rPr>
        <w:t xml:space="preserve">last year, adding new indicators that measure this openness. We believe that </w:t>
      </w:r>
      <w:r w:rsidR="00EF2DAE" w:rsidRPr="00C11FF9">
        <w:rPr>
          <w:lang w:val="en-US"/>
        </w:rPr>
        <w:t>such</w:t>
      </w:r>
      <w:r w:rsidR="001F27A4" w:rsidRPr="00C11FF9">
        <w:rPr>
          <w:lang w:val="en-US"/>
        </w:rPr>
        <w:t xml:space="preserve"> </w:t>
      </w:r>
      <w:r w:rsidR="00EF2DAE" w:rsidRPr="00C11FF9">
        <w:rPr>
          <w:lang w:val="en-US"/>
        </w:rPr>
        <w:t>a stricter</w:t>
      </w:r>
      <w:r w:rsidRPr="00C11FF9">
        <w:rPr>
          <w:lang w:val="en-US"/>
        </w:rPr>
        <w:t xml:space="preserve"> </w:t>
      </w:r>
      <w:r w:rsidR="00744C90" w:rsidRPr="00C11FF9">
        <w:rPr>
          <w:lang w:val="en-US"/>
        </w:rPr>
        <w:t xml:space="preserve">approach </w:t>
      </w:r>
      <w:r w:rsidRPr="00C11FF9">
        <w:rPr>
          <w:lang w:val="en-US"/>
        </w:rPr>
        <w:t xml:space="preserve">partly affected the weaker performance. On the other hand, the results and the analyzed data show that judicial institutions did not generally work on the overall development of openness, so the new indicators did not prevail in the weaker </w:t>
      </w:r>
      <w:r w:rsidR="00744C90" w:rsidRPr="00C11FF9">
        <w:rPr>
          <w:lang w:val="en-US"/>
        </w:rPr>
        <w:t>results</w:t>
      </w:r>
      <w:r w:rsidRPr="00C11FF9">
        <w:rPr>
          <w:lang w:val="en-US"/>
        </w:rPr>
        <w:t>.</w:t>
      </w:r>
    </w:p>
    <w:p w14:paraId="7FF1B0FF" w14:textId="28CD5216" w:rsidR="007668AE" w:rsidRPr="00C11FF9" w:rsidRDefault="007668AE" w:rsidP="006C189A">
      <w:pPr>
        <w:jc w:val="both"/>
        <w:rPr>
          <w:lang w:val="en-US"/>
        </w:rPr>
      </w:pPr>
      <w:r w:rsidRPr="00C11FF9">
        <w:rPr>
          <w:lang w:val="en-US"/>
        </w:rPr>
        <w:t xml:space="preserve">Judicial bodies in the region are in the process of reform, and are faced with a series of changes in the upcoming period. Through our research we identified several critical points in the work of judicial bodies in the region, </w:t>
      </w:r>
      <w:r w:rsidR="00744C90" w:rsidRPr="00C11FF9">
        <w:rPr>
          <w:lang w:val="en-US"/>
        </w:rPr>
        <w:t>to which</w:t>
      </w:r>
      <w:r w:rsidRPr="00C11FF9">
        <w:rPr>
          <w:lang w:val="en-US"/>
        </w:rPr>
        <w:t xml:space="preserve"> all countries should pay special attention in order to reach international standards of openness.</w:t>
      </w:r>
    </w:p>
    <w:p w14:paraId="5FB4B646" w14:textId="6480D59F" w:rsidR="00F56AEC" w:rsidRPr="00C11FF9" w:rsidRDefault="007B318F" w:rsidP="006C189A">
      <w:pPr>
        <w:rPr>
          <w:b/>
          <w:bCs/>
          <w:lang w:val="en-US"/>
        </w:rPr>
      </w:pPr>
      <w:r w:rsidRPr="00C11FF9">
        <w:rPr>
          <w:b/>
          <w:bCs/>
          <w:lang w:val="en-US"/>
        </w:rPr>
        <w:t>Courts in the region</w:t>
      </w:r>
      <w:r w:rsidR="283C8940" w:rsidRPr="00C11FF9">
        <w:rPr>
          <w:b/>
          <w:bCs/>
          <w:lang w:val="en-US"/>
        </w:rPr>
        <w:t xml:space="preserve"> </w:t>
      </w:r>
    </w:p>
    <w:p w14:paraId="3D1DA253" w14:textId="691A81CA" w:rsidR="007668AE" w:rsidRPr="00C11FF9" w:rsidRDefault="007668AE" w:rsidP="006C189A">
      <w:pPr>
        <w:jc w:val="both"/>
        <w:rPr>
          <w:lang w:val="en-US"/>
        </w:rPr>
      </w:pPr>
      <w:r w:rsidRPr="00C11FF9">
        <w:rPr>
          <w:lang w:val="en-US"/>
        </w:rPr>
        <w:t xml:space="preserve">Most of the courts in the region have </w:t>
      </w:r>
      <w:r w:rsidR="00395F8F" w:rsidRPr="00C11FF9">
        <w:rPr>
          <w:lang w:val="en-US"/>
        </w:rPr>
        <w:t>their website</w:t>
      </w:r>
      <w:r w:rsidRPr="00C11FF9">
        <w:rPr>
          <w:lang w:val="en-US"/>
        </w:rPr>
        <w:t xml:space="preserve">, but given their content, citizens still </w:t>
      </w:r>
      <w:r w:rsidRPr="008C0501">
        <w:rPr>
          <w:lang w:val="en-US"/>
        </w:rPr>
        <w:t>face barriers to finding certain</w:t>
      </w:r>
      <w:r w:rsidRPr="00C11FF9">
        <w:rPr>
          <w:lang w:val="en-US"/>
        </w:rPr>
        <w:t xml:space="preserve"> public information.</w:t>
      </w:r>
    </w:p>
    <w:p w14:paraId="34E91E39" w14:textId="682A11AB" w:rsidR="007668AE" w:rsidRPr="00C11FF9" w:rsidRDefault="007668AE" w:rsidP="006C189A">
      <w:pPr>
        <w:jc w:val="both"/>
        <w:rPr>
          <w:lang w:val="en-US"/>
        </w:rPr>
      </w:pPr>
      <w:r w:rsidRPr="00C11FF9">
        <w:rPr>
          <w:lang w:val="en-US"/>
        </w:rPr>
        <w:t xml:space="preserve">Courts in the region meet </w:t>
      </w:r>
      <w:r w:rsidR="00395F8F" w:rsidRPr="00C11FF9">
        <w:rPr>
          <w:lang w:val="en-US"/>
        </w:rPr>
        <w:t>on average</w:t>
      </w:r>
      <w:r w:rsidRPr="00C11FF9">
        <w:rPr>
          <w:lang w:val="en-US"/>
        </w:rPr>
        <w:t xml:space="preserve"> 39% of the indicators in the field of transparency of work. A significant number of court</w:t>
      </w:r>
      <w:r w:rsidR="00395F8F" w:rsidRPr="00C11FF9">
        <w:rPr>
          <w:lang w:val="en-US"/>
        </w:rPr>
        <w:t>s from the region</w:t>
      </w:r>
      <w:r w:rsidRPr="00C11FF9">
        <w:rPr>
          <w:lang w:val="en-US"/>
        </w:rPr>
        <w:t xml:space="preserve"> do not publish basic information about their work, which includes plans and work programs, work reports, strategies, </w:t>
      </w:r>
      <w:r w:rsidR="00395F8F" w:rsidRPr="00C11FF9">
        <w:rPr>
          <w:lang w:val="en-US"/>
        </w:rPr>
        <w:t>data on earnings of judges</w:t>
      </w:r>
      <w:r w:rsidRPr="00C11FF9">
        <w:rPr>
          <w:lang w:val="en-US"/>
        </w:rPr>
        <w:t>...</w:t>
      </w:r>
    </w:p>
    <w:p w14:paraId="382FA68E" w14:textId="23A4DAB6" w:rsidR="007668AE" w:rsidRPr="00C11FF9" w:rsidRDefault="007668AE" w:rsidP="006C189A">
      <w:pPr>
        <w:jc w:val="both"/>
        <w:rPr>
          <w:lang w:val="en-US"/>
        </w:rPr>
      </w:pPr>
      <w:r w:rsidRPr="00C11FF9">
        <w:rPr>
          <w:lang w:val="en-US"/>
        </w:rPr>
        <w:t xml:space="preserve">In this respect, </w:t>
      </w:r>
      <w:r w:rsidR="0065239D" w:rsidRPr="00C11FF9">
        <w:rPr>
          <w:lang w:val="en-US"/>
        </w:rPr>
        <w:t xml:space="preserve">of particular concern in the most countries </w:t>
      </w:r>
      <w:r w:rsidR="0065239D">
        <w:rPr>
          <w:lang w:val="en-US"/>
        </w:rPr>
        <w:t xml:space="preserve">is </w:t>
      </w:r>
      <w:r w:rsidR="00395F8F" w:rsidRPr="00C11FF9">
        <w:rPr>
          <w:lang w:val="en-US"/>
        </w:rPr>
        <w:t>no</w:t>
      </w:r>
      <w:r w:rsidR="0065239D">
        <w:rPr>
          <w:lang w:val="en-US"/>
        </w:rPr>
        <w:t>t publishing</w:t>
      </w:r>
      <w:r w:rsidR="00395F8F" w:rsidRPr="00C11FF9">
        <w:rPr>
          <w:lang w:val="en-US"/>
        </w:rPr>
        <w:t xml:space="preserve"> court judgmen</w:t>
      </w:r>
      <w:r w:rsidR="0065239D">
        <w:rPr>
          <w:lang w:val="en-US"/>
        </w:rPr>
        <w:t>ts and explanations of verdicts</w:t>
      </w:r>
      <w:r w:rsidR="00395F8F" w:rsidRPr="00C11FF9">
        <w:rPr>
          <w:lang w:val="en-US"/>
        </w:rPr>
        <w:t>.</w:t>
      </w:r>
      <w:r w:rsidRPr="00C11FF9">
        <w:rPr>
          <w:lang w:val="en-US"/>
        </w:rPr>
        <w:t xml:space="preserve"> </w:t>
      </w:r>
    </w:p>
    <w:p w14:paraId="31C71761" w14:textId="15859282" w:rsidR="007668AE" w:rsidRPr="00C11FF9" w:rsidRDefault="0065239D" w:rsidP="006C189A">
      <w:pPr>
        <w:jc w:val="both"/>
        <w:rPr>
          <w:lang w:val="en-US"/>
        </w:rPr>
      </w:pPr>
      <w:r>
        <w:rPr>
          <w:lang w:val="en-US"/>
        </w:rPr>
        <w:t>C</w:t>
      </w:r>
      <w:r w:rsidR="007668AE" w:rsidRPr="00C11FF9">
        <w:rPr>
          <w:lang w:val="en-US"/>
        </w:rPr>
        <w:t>ourts in the region</w:t>
      </w:r>
      <w:r>
        <w:rPr>
          <w:lang w:val="en-US"/>
        </w:rPr>
        <w:t xml:space="preserve"> meet</w:t>
      </w:r>
      <w:r w:rsidR="007668AE" w:rsidRPr="00C11FF9">
        <w:rPr>
          <w:lang w:val="en-US"/>
        </w:rPr>
        <w:t xml:space="preserve"> on average almost 40% of the indicators in the area of accessibility. One of the </w:t>
      </w:r>
      <w:r w:rsidR="00830CC2">
        <w:rPr>
          <w:lang w:val="en-US"/>
        </w:rPr>
        <w:t>particular issues is</w:t>
      </w:r>
      <w:r w:rsidR="007668AE" w:rsidRPr="00C11FF9">
        <w:rPr>
          <w:lang w:val="en-US"/>
        </w:rPr>
        <w:t xml:space="preserve"> accessibility of courtrooms for people with difficult mobility, although there are laws obliging public institutions to adapt the infrastructure of their facilities in order to facilitate access to wheelchair users.</w:t>
      </w:r>
    </w:p>
    <w:p w14:paraId="3DD8B696" w14:textId="40523375" w:rsidR="007668AE" w:rsidRPr="00C11FF9" w:rsidRDefault="007668AE" w:rsidP="006C189A">
      <w:pPr>
        <w:jc w:val="both"/>
        <w:rPr>
          <w:lang w:val="en-US"/>
        </w:rPr>
      </w:pPr>
      <w:r w:rsidRPr="00C11FF9">
        <w:rPr>
          <w:lang w:val="en-US"/>
        </w:rPr>
        <w:t>Abo</w:t>
      </w:r>
      <w:r w:rsidR="00B74530" w:rsidRPr="00C11FF9">
        <w:rPr>
          <w:lang w:val="en-US"/>
        </w:rPr>
        <w:t>ut half of courts in the re</w:t>
      </w:r>
      <w:r w:rsidRPr="00C11FF9">
        <w:rPr>
          <w:lang w:val="en-US"/>
        </w:rPr>
        <w:t xml:space="preserve">gion have no updated </w:t>
      </w:r>
      <w:r w:rsidR="00B74530" w:rsidRPr="00C11FF9">
        <w:rPr>
          <w:lang w:val="en-US"/>
        </w:rPr>
        <w:t xml:space="preserve">Guidelines for free access to information </w:t>
      </w:r>
      <w:r w:rsidRPr="00C11FF9">
        <w:rPr>
          <w:lang w:val="en-US"/>
        </w:rPr>
        <w:t>(</w:t>
      </w:r>
      <w:r w:rsidR="00B74530" w:rsidRPr="00C11FF9">
        <w:rPr>
          <w:lang w:val="en-US"/>
        </w:rPr>
        <w:t>FAI</w:t>
      </w:r>
      <w:r w:rsidRPr="00C11FF9">
        <w:rPr>
          <w:lang w:val="en-US"/>
        </w:rPr>
        <w:t xml:space="preserve">s) on their websites, and nearly a third of </w:t>
      </w:r>
      <w:r w:rsidR="00B74530" w:rsidRPr="00C11FF9">
        <w:rPr>
          <w:lang w:val="en-US"/>
        </w:rPr>
        <w:t xml:space="preserve">them do not have </w:t>
      </w:r>
      <w:r w:rsidRPr="00C11FF9">
        <w:rPr>
          <w:lang w:val="en-US"/>
        </w:rPr>
        <w:t>the contact persons responsible for acting on requ</w:t>
      </w:r>
      <w:r w:rsidR="00B74530" w:rsidRPr="00C11FF9">
        <w:rPr>
          <w:lang w:val="en-US"/>
        </w:rPr>
        <w:t>ests for free access to information</w:t>
      </w:r>
      <w:r w:rsidRPr="00C11FF9">
        <w:rPr>
          <w:lang w:val="en-US"/>
        </w:rPr>
        <w:t>.</w:t>
      </w:r>
    </w:p>
    <w:p w14:paraId="598E203B" w14:textId="354B01DB" w:rsidR="007668AE" w:rsidRPr="00C11FF9" w:rsidRDefault="007668AE" w:rsidP="006C189A">
      <w:pPr>
        <w:jc w:val="both"/>
        <w:rPr>
          <w:lang w:val="en-US"/>
        </w:rPr>
      </w:pPr>
      <w:r w:rsidRPr="00C11FF9">
        <w:rPr>
          <w:lang w:val="en-US"/>
        </w:rPr>
        <w:t>In addition, there is a lack of mechanisms and info</w:t>
      </w:r>
      <w:r w:rsidR="00B74530" w:rsidRPr="00C11FF9">
        <w:rPr>
          <w:lang w:val="en-US"/>
        </w:rPr>
        <w:t>rmation at the regional level for</w:t>
      </w:r>
      <w:r w:rsidRPr="00C11FF9">
        <w:rPr>
          <w:lang w:val="en-US"/>
        </w:rPr>
        <w:t xml:space="preserve"> inform</w:t>
      </w:r>
      <w:r w:rsidR="00B74530" w:rsidRPr="00C11FF9">
        <w:rPr>
          <w:lang w:val="en-US"/>
        </w:rPr>
        <w:t>ing</w:t>
      </w:r>
      <w:r w:rsidRPr="00C11FF9">
        <w:rPr>
          <w:lang w:val="en-US"/>
        </w:rPr>
        <w:t xml:space="preserve"> citizens more closely about their rights and available legal remedies or about </w:t>
      </w:r>
      <w:r w:rsidR="00B74530" w:rsidRPr="00C11FF9">
        <w:rPr>
          <w:lang w:val="en-US"/>
        </w:rPr>
        <w:t>manners</w:t>
      </w:r>
      <w:r w:rsidRPr="00C11FF9">
        <w:rPr>
          <w:lang w:val="en-US"/>
        </w:rPr>
        <w:t xml:space="preserve"> of </w:t>
      </w:r>
      <w:r w:rsidR="00B74530" w:rsidRPr="00C11FF9">
        <w:rPr>
          <w:lang w:val="en-US"/>
        </w:rPr>
        <w:t>filing</w:t>
      </w:r>
      <w:r w:rsidRPr="00C11FF9">
        <w:rPr>
          <w:lang w:val="en-US"/>
        </w:rPr>
        <w:t xml:space="preserve"> complaints or objections to the work of court</w:t>
      </w:r>
      <w:r w:rsidR="00830CC2">
        <w:rPr>
          <w:lang w:val="en-US"/>
        </w:rPr>
        <w:t>s</w:t>
      </w:r>
      <w:r w:rsidRPr="00C11FF9">
        <w:rPr>
          <w:lang w:val="en-US"/>
        </w:rPr>
        <w:t xml:space="preserve">. In addition, </w:t>
      </w:r>
      <w:r w:rsidR="008C0501" w:rsidRPr="008C0501">
        <w:rPr>
          <w:lang w:val="en-US"/>
        </w:rPr>
        <w:t>few</w:t>
      </w:r>
      <w:r w:rsidRPr="008C0501">
        <w:rPr>
          <w:lang w:val="en-US"/>
        </w:rPr>
        <w:t xml:space="preserve"> courts in</w:t>
      </w:r>
      <w:r w:rsidR="008C0501">
        <w:rPr>
          <w:lang w:val="en-US"/>
        </w:rPr>
        <w:t xml:space="preserve"> the region have published </w:t>
      </w:r>
      <w:r w:rsidR="00B74530" w:rsidRPr="00C11FF9">
        <w:rPr>
          <w:lang w:val="en-US"/>
        </w:rPr>
        <w:t>Code of</w:t>
      </w:r>
      <w:r w:rsidRPr="00C11FF9">
        <w:rPr>
          <w:lang w:val="en-US"/>
        </w:rPr>
        <w:t xml:space="preserve"> Ethics on their websites.</w:t>
      </w:r>
    </w:p>
    <w:p w14:paraId="686D6820" w14:textId="199308ED" w:rsidR="007668AE" w:rsidRPr="00C11FF9" w:rsidRDefault="007668AE" w:rsidP="006C189A">
      <w:pPr>
        <w:jc w:val="both"/>
        <w:rPr>
          <w:lang w:val="en-US"/>
        </w:rPr>
      </w:pPr>
      <w:r w:rsidRPr="00C11FF9">
        <w:rPr>
          <w:lang w:val="en-US"/>
        </w:rPr>
        <w:t>Our research has shown that integrity plans or some other complementary document (whi</w:t>
      </w:r>
      <w:r w:rsidR="00B74530" w:rsidRPr="00C11FF9">
        <w:rPr>
          <w:lang w:val="en-US"/>
        </w:rPr>
        <w:t xml:space="preserve">ch would imply measures for </w:t>
      </w:r>
      <w:r w:rsidRPr="00C11FF9">
        <w:rPr>
          <w:lang w:val="en-US"/>
        </w:rPr>
        <w:t xml:space="preserve">prevention and elimination of various forms of corruptive and unethical behavior within the institution) are not available on the </w:t>
      </w:r>
      <w:r w:rsidR="00B74530" w:rsidRPr="00C11FF9">
        <w:rPr>
          <w:lang w:val="en-US"/>
        </w:rPr>
        <w:t>websites</w:t>
      </w:r>
      <w:r w:rsidRPr="00C11FF9">
        <w:rPr>
          <w:lang w:val="en-US"/>
        </w:rPr>
        <w:t xml:space="preserve"> of a large number of courts in the region. </w:t>
      </w:r>
      <w:r w:rsidR="00B74530" w:rsidRPr="00C11FF9">
        <w:rPr>
          <w:lang w:val="en-US"/>
        </w:rPr>
        <w:t>Moreover</w:t>
      </w:r>
      <w:r w:rsidRPr="00C11FF9">
        <w:rPr>
          <w:lang w:val="en-US"/>
        </w:rPr>
        <w:t>, courts in the region should be more committed to organizing or participating in training in anti-corruption policies, bearing in mind that a significant number of courts responded t</w:t>
      </w:r>
      <w:r w:rsidR="00B74530" w:rsidRPr="00C11FF9">
        <w:rPr>
          <w:lang w:val="en-US"/>
        </w:rPr>
        <w:t xml:space="preserve">hat they did not participate </w:t>
      </w:r>
      <w:r w:rsidRPr="00C11FF9">
        <w:rPr>
          <w:lang w:val="en-US"/>
        </w:rPr>
        <w:t>in such tr</w:t>
      </w:r>
      <w:r w:rsidR="00B74530" w:rsidRPr="00C11FF9">
        <w:rPr>
          <w:lang w:val="en-US"/>
        </w:rPr>
        <w:t>ainings</w:t>
      </w:r>
      <w:r w:rsidR="006A7293" w:rsidRPr="00C11FF9">
        <w:rPr>
          <w:lang w:val="en-US"/>
        </w:rPr>
        <w:t>.</w:t>
      </w:r>
    </w:p>
    <w:p w14:paraId="264152AD" w14:textId="2CE975FD" w:rsidR="006A7293" w:rsidRPr="00C11FF9" w:rsidRDefault="006A7293" w:rsidP="006C189A">
      <w:pPr>
        <w:jc w:val="both"/>
        <w:rPr>
          <w:b/>
          <w:bCs/>
          <w:lang w:val="en-US"/>
        </w:rPr>
      </w:pPr>
      <w:r w:rsidRPr="00C11FF9">
        <w:rPr>
          <w:b/>
          <w:bCs/>
          <w:lang w:val="en-US"/>
        </w:rPr>
        <w:t>Prosecutor's offices in the region</w:t>
      </w:r>
    </w:p>
    <w:p w14:paraId="5E47C197" w14:textId="60D81188" w:rsidR="007668AE" w:rsidRPr="00C11FF9" w:rsidRDefault="006A7293" w:rsidP="006C189A">
      <w:pPr>
        <w:jc w:val="both"/>
        <w:rPr>
          <w:lang w:val="en-US"/>
        </w:rPr>
      </w:pPr>
      <w:r w:rsidRPr="00C11FF9">
        <w:rPr>
          <w:lang w:val="en-US"/>
        </w:rPr>
        <w:t xml:space="preserve">Prosecutor's offices </w:t>
      </w:r>
      <w:r w:rsidR="007668AE" w:rsidRPr="00C11FF9">
        <w:rPr>
          <w:lang w:val="en-US"/>
        </w:rPr>
        <w:t xml:space="preserve">should have a more proactive approach when it comes to </w:t>
      </w:r>
      <w:r w:rsidRPr="00C11FF9">
        <w:rPr>
          <w:lang w:val="en-US"/>
        </w:rPr>
        <w:t>availability</w:t>
      </w:r>
      <w:r w:rsidR="007668AE" w:rsidRPr="00C11FF9">
        <w:rPr>
          <w:lang w:val="en-US"/>
        </w:rPr>
        <w:t xml:space="preserve"> of information of public importance.</w:t>
      </w:r>
    </w:p>
    <w:p w14:paraId="01DAAFC0" w14:textId="1E01C686" w:rsidR="007668AE" w:rsidRPr="00C11FF9" w:rsidRDefault="007668AE" w:rsidP="006C189A">
      <w:pPr>
        <w:jc w:val="both"/>
        <w:rPr>
          <w:lang w:val="en-US"/>
        </w:rPr>
      </w:pPr>
      <w:r w:rsidRPr="00C11FF9">
        <w:rPr>
          <w:lang w:val="en-US"/>
        </w:rPr>
        <w:lastRenderedPageBreak/>
        <w:t xml:space="preserve">Two thirds of </w:t>
      </w:r>
      <w:r w:rsidR="006A7293" w:rsidRPr="00C11FF9">
        <w:rPr>
          <w:lang w:val="en-US"/>
        </w:rPr>
        <w:t>prosecutor's offices</w:t>
      </w:r>
      <w:r w:rsidRPr="00C11FF9">
        <w:rPr>
          <w:lang w:val="en-US"/>
        </w:rPr>
        <w:t xml:space="preserve"> in </w:t>
      </w:r>
      <w:r w:rsidR="006A7293" w:rsidRPr="00C11FF9">
        <w:rPr>
          <w:lang w:val="en-US"/>
        </w:rPr>
        <w:t>the region have no official web</w:t>
      </w:r>
      <w:r w:rsidRPr="00C11FF9">
        <w:rPr>
          <w:lang w:val="en-US"/>
        </w:rPr>
        <w:t>site, or have the</w:t>
      </w:r>
      <w:r w:rsidR="006A7293" w:rsidRPr="00C11FF9">
        <w:rPr>
          <w:lang w:val="en-US"/>
        </w:rPr>
        <w:t xml:space="preserve"> websites which</w:t>
      </w:r>
      <w:r w:rsidRPr="00C11FF9">
        <w:rPr>
          <w:lang w:val="en-US"/>
        </w:rPr>
        <w:t xml:space="preserve"> have not been updated for more than six months.</w:t>
      </w:r>
    </w:p>
    <w:p w14:paraId="3B3FB213" w14:textId="38CA21D2" w:rsidR="007668AE" w:rsidRPr="00C11FF9" w:rsidRDefault="007668AE" w:rsidP="006C189A">
      <w:pPr>
        <w:jc w:val="both"/>
        <w:rPr>
          <w:lang w:val="en-US"/>
        </w:rPr>
      </w:pPr>
      <w:r w:rsidRPr="00C11FF9">
        <w:rPr>
          <w:lang w:val="en-US"/>
        </w:rPr>
        <w:t>If we analyze the</w:t>
      </w:r>
      <w:r w:rsidR="006A7293" w:rsidRPr="00C11FF9">
        <w:rPr>
          <w:lang w:val="en-US"/>
        </w:rPr>
        <w:t xml:space="preserve"> content of</w:t>
      </w:r>
      <w:r w:rsidR="00830CC2">
        <w:rPr>
          <w:lang w:val="en-US"/>
        </w:rPr>
        <w:t xml:space="preserve"> the</w:t>
      </w:r>
      <w:r w:rsidR="006A7293" w:rsidRPr="00C11FF9">
        <w:rPr>
          <w:lang w:val="en-US"/>
        </w:rPr>
        <w:t xml:space="preserve"> existing websites, prosecutor's offices</w:t>
      </w:r>
      <w:r w:rsidRPr="00C11FF9">
        <w:rPr>
          <w:lang w:val="en-US"/>
        </w:rPr>
        <w:t xml:space="preserve"> generally do not publish plans and work programs, work reports, and current strategies. Although in the countries of the region there is a Code of Ethics for Prosecutors, it is not available on a significant number of </w:t>
      </w:r>
      <w:r w:rsidR="00DC6ECF" w:rsidRPr="00C11FF9">
        <w:rPr>
          <w:lang w:val="en-US"/>
        </w:rPr>
        <w:t xml:space="preserve">prosecutor's offices </w:t>
      </w:r>
      <w:r w:rsidRPr="00C11FF9">
        <w:rPr>
          <w:lang w:val="en-US"/>
        </w:rPr>
        <w:t>websites.</w:t>
      </w:r>
    </w:p>
    <w:p w14:paraId="6ACC9F5B" w14:textId="7B32CC34" w:rsidR="00DC6ECF" w:rsidRPr="00C11FF9" w:rsidRDefault="00DC6ECF" w:rsidP="006C189A">
      <w:pPr>
        <w:jc w:val="both"/>
        <w:rPr>
          <w:lang w:val="en-US"/>
        </w:rPr>
      </w:pPr>
      <w:r w:rsidRPr="00C11FF9">
        <w:rPr>
          <w:lang w:val="en-US"/>
        </w:rPr>
        <w:t xml:space="preserve">Exercising the right to free access to information is limited in the situation where a quarter of prosecutor's offices </w:t>
      </w:r>
      <w:r w:rsidR="008C0501" w:rsidRPr="00C11FF9">
        <w:rPr>
          <w:lang w:val="en-US"/>
        </w:rPr>
        <w:t>do</w:t>
      </w:r>
      <w:r w:rsidRPr="00C11FF9">
        <w:rPr>
          <w:lang w:val="en-US"/>
        </w:rPr>
        <w:t xml:space="preserve"> not </w:t>
      </w:r>
      <w:r w:rsidR="008C0501">
        <w:rPr>
          <w:lang w:val="en-US"/>
        </w:rPr>
        <w:t>publish</w:t>
      </w:r>
      <w:r w:rsidRPr="00C11FF9">
        <w:rPr>
          <w:lang w:val="en-US"/>
        </w:rPr>
        <w:t xml:space="preserve"> contact details of the person responsible for free access to information. In addition, there is a practice of not publishing the guideline and databases with information </w:t>
      </w:r>
      <w:r w:rsidRPr="008C0501">
        <w:rPr>
          <w:lang w:val="en-US"/>
        </w:rPr>
        <w:t xml:space="preserve">that has </w:t>
      </w:r>
      <w:r w:rsidR="00830CC2" w:rsidRPr="008C0501">
        <w:rPr>
          <w:lang w:val="en-US"/>
        </w:rPr>
        <w:t xml:space="preserve">already </w:t>
      </w:r>
      <w:r w:rsidRPr="008C0501">
        <w:rPr>
          <w:lang w:val="en-US"/>
        </w:rPr>
        <w:t>been granted access.</w:t>
      </w:r>
    </w:p>
    <w:p w14:paraId="4C8C0240" w14:textId="6A231FC4" w:rsidR="00DC6ECF" w:rsidRPr="00C11FF9" w:rsidRDefault="00DC6ECF" w:rsidP="006C189A">
      <w:pPr>
        <w:jc w:val="both"/>
        <w:rPr>
          <w:lang w:val="en-US"/>
        </w:rPr>
      </w:pPr>
      <w:r w:rsidRPr="00C11FF9">
        <w:rPr>
          <w:lang w:val="en-US"/>
        </w:rPr>
        <w:t xml:space="preserve">The most common problems in media reporting on criminal proceedings concern privacy breaches, violations of the presumption of innocence, </w:t>
      </w:r>
      <w:r w:rsidR="00A54374">
        <w:rPr>
          <w:lang w:val="en-US"/>
        </w:rPr>
        <w:t>“</w:t>
      </w:r>
      <w:r w:rsidRPr="00C11FF9">
        <w:rPr>
          <w:lang w:val="en-US"/>
        </w:rPr>
        <w:t>information leakage</w:t>
      </w:r>
      <w:r w:rsidR="00A54374">
        <w:rPr>
          <w:lang w:val="en-US"/>
        </w:rPr>
        <w:t xml:space="preserve">”... </w:t>
      </w:r>
      <w:r w:rsidRPr="00C11FF9">
        <w:rPr>
          <w:lang w:val="en-US"/>
        </w:rPr>
        <w:t>Although this remains a challenge in the region, a large number of prosecutor</w:t>
      </w:r>
      <w:r w:rsidR="00A54374">
        <w:rPr>
          <w:lang w:val="en-US"/>
        </w:rPr>
        <w:t>’</w:t>
      </w:r>
      <w:r w:rsidRPr="00C11FF9">
        <w:rPr>
          <w:lang w:val="en-US"/>
        </w:rPr>
        <w:t>s</w:t>
      </w:r>
      <w:r w:rsidR="00A54374">
        <w:rPr>
          <w:lang w:val="en-US"/>
        </w:rPr>
        <w:t xml:space="preserve"> offices</w:t>
      </w:r>
      <w:r w:rsidRPr="00C11FF9">
        <w:rPr>
          <w:lang w:val="en-US"/>
        </w:rPr>
        <w:t xml:space="preserve"> have not yet adopted any kind of guidelines or</w:t>
      </w:r>
      <w:r w:rsidR="00A54374">
        <w:rPr>
          <w:lang w:val="en-US"/>
        </w:rPr>
        <w:t xml:space="preserve"> instructions on co</w:t>
      </w:r>
      <w:r w:rsidRPr="00C11FF9">
        <w:rPr>
          <w:lang w:val="en-US"/>
        </w:rPr>
        <w:t xml:space="preserve">operation </w:t>
      </w:r>
      <w:r w:rsidR="00A54374">
        <w:rPr>
          <w:lang w:val="en-US"/>
        </w:rPr>
        <w:t>with the media</w:t>
      </w:r>
      <w:r w:rsidR="00A54374" w:rsidRPr="00C11FF9">
        <w:rPr>
          <w:lang w:val="en-US"/>
        </w:rPr>
        <w:t xml:space="preserve"> </w:t>
      </w:r>
      <w:r w:rsidRPr="00C11FF9">
        <w:rPr>
          <w:lang w:val="en-US"/>
        </w:rPr>
        <w:t>and</w:t>
      </w:r>
      <w:r w:rsidR="00A54374">
        <w:rPr>
          <w:lang w:val="en-US"/>
        </w:rPr>
        <w:t xml:space="preserve"> media</w:t>
      </w:r>
      <w:r w:rsidRPr="00C11FF9">
        <w:rPr>
          <w:lang w:val="en-US"/>
        </w:rPr>
        <w:t xml:space="preserve"> reporting. This is more than necessary in the upcoming period, </w:t>
      </w:r>
      <w:r w:rsidRPr="008C0501">
        <w:rPr>
          <w:lang w:val="en-US"/>
        </w:rPr>
        <w:t xml:space="preserve">in order to prevent </w:t>
      </w:r>
      <w:r w:rsidR="00A54374" w:rsidRPr="008C0501">
        <w:rPr>
          <w:lang w:val="en-US"/>
        </w:rPr>
        <w:t>jeopardizing</w:t>
      </w:r>
      <w:r w:rsidR="00A54374" w:rsidRPr="00A54374">
        <w:rPr>
          <w:lang w:val="en-US"/>
        </w:rPr>
        <w:t xml:space="preserve"> the flow of proceedings and investigations</w:t>
      </w:r>
      <w:r w:rsidRPr="00C11FF9">
        <w:rPr>
          <w:lang w:val="en-US"/>
        </w:rPr>
        <w:t>.</w:t>
      </w:r>
    </w:p>
    <w:p w14:paraId="4AD65481" w14:textId="730FD7E6" w:rsidR="007668AE" w:rsidRPr="00C11FF9" w:rsidRDefault="007668AE" w:rsidP="006C189A">
      <w:pPr>
        <w:jc w:val="both"/>
        <w:rPr>
          <w:lang w:val="en-US"/>
        </w:rPr>
      </w:pPr>
      <w:r w:rsidRPr="00C11FF9">
        <w:rPr>
          <w:lang w:val="en-US"/>
        </w:rPr>
        <w:t xml:space="preserve">Finally, </w:t>
      </w:r>
      <w:r w:rsidR="00A54374">
        <w:rPr>
          <w:lang w:val="en-US"/>
        </w:rPr>
        <w:t>the judiciary</w:t>
      </w:r>
      <w:r w:rsidRPr="00C11FF9">
        <w:rPr>
          <w:lang w:val="en-US"/>
        </w:rPr>
        <w:t xml:space="preserve"> system as a whole fai</w:t>
      </w:r>
      <w:r w:rsidR="00A54374">
        <w:rPr>
          <w:lang w:val="en-US"/>
        </w:rPr>
        <w:t xml:space="preserve">led to build an on-line system which would </w:t>
      </w:r>
      <w:r w:rsidRPr="00C11FF9">
        <w:rPr>
          <w:lang w:val="en-US"/>
        </w:rPr>
        <w:t>moni</w:t>
      </w:r>
      <w:r w:rsidR="00A54374">
        <w:rPr>
          <w:lang w:val="en-US"/>
        </w:rPr>
        <w:t>tor the flow and progress of</w:t>
      </w:r>
      <w:r w:rsidRPr="00C11FF9">
        <w:rPr>
          <w:lang w:val="en-US"/>
        </w:rPr>
        <w:t xml:space="preserve"> indictment</w:t>
      </w:r>
      <w:r w:rsidR="00A54374">
        <w:rPr>
          <w:lang w:val="en-US"/>
        </w:rPr>
        <w:t>s</w:t>
      </w:r>
      <w:r w:rsidRPr="00C11FF9">
        <w:rPr>
          <w:lang w:val="en-US"/>
        </w:rPr>
        <w:t>. Even in those countries</w:t>
      </w:r>
      <w:r w:rsidR="00A54374">
        <w:rPr>
          <w:lang w:val="en-US"/>
        </w:rPr>
        <w:t xml:space="preserve"> of the region</w:t>
      </w:r>
      <w:r w:rsidRPr="00C11FF9">
        <w:rPr>
          <w:lang w:val="en-US"/>
        </w:rPr>
        <w:t xml:space="preserve"> where such a system exists, it is not functional enough.</w:t>
      </w:r>
    </w:p>
    <w:p w14:paraId="56D642F6" w14:textId="77777777" w:rsidR="00F6196A" w:rsidRPr="00C11FF9" w:rsidRDefault="00F6196A" w:rsidP="006C189A">
      <w:pPr>
        <w:rPr>
          <w:lang w:val="en-US"/>
        </w:rPr>
      </w:pPr>
    </w:p>
    <w:p w14:paraId="77057626" w14:textId="68A225E4" w:rsidR="00B3701C" w:rsidRPr="00C11FF9" w:rsidRDefault="00A54374" w:rsidP="006C189A">
      <w:pPr>
        <w:rPr>
          <w:lang w:val="en-US"/>
        </w:rPr>
      </w:pPr>
      <w:r>
        <w:rPr>
          <w:lang w:val="en-US"/>
        </w:rPr>
        <w:t>COURTS AND PROSECUTOR’S OFFICES IN MONTENEGRO</w:t>
      </w:r>
      <w:r w:rsidR="283C8940" w:rsidRPr="00C11FF9">
        <w:rPr>
          <w:lang w:val="en-US"/>
        </w:rPr>
        <w:t xml:space="preserve"> </w:t>
      </w:r>
    </w:p>
    <w:p w14:paraId="4E27D2E0" w14:textId="7D7F69DC" w:rsidR="0043220A" w:rsidRPr="00C11FF9" w:rsidRDefault="0043220A" w:rsidP="006C189A">
      <w:pPr>
        <w:jc w:val="both"/>
        <w:rPr>
          <w:lang w:val="en-US"/>
        </w:rPr>
      </w:pPr>
      <w:r>
        <w:rPr>
          <w:lang w:val="en-US"/>
        </w:rPr>
        <w:t>T</w:t>
      </w:r>
      <w:r w:rsidRPr="0043220A">
        <w:rPr>
          <w:lang w:val="en-US"/>
        </w:rPr>
        <w:t>he Strategy for the Reform of the Judiciary 2014-2018</w:t>
      </w:r>
      <w:r>
        <w:rPr>
          <w:lang w:val="en-US"/>
        </w:rPr>
        <w:t xml:space="preserve"> </w:t>
      </w:r>
      <w:r w:rsidRPr="00C11FF9">
        <w:rPr>
          <w:lang w:val="en-US"/>
        </w:rPr>
        <w:t>recognizes the need to strengthen citizens' trust in the judiciary through access to information held by judicial institutions, but our research has confirmed that there is still a significant space for enhancing the openness of judicial institutions.</w:t>
      </w:r>
      <w:r w:rsidRPr="00C11FF9">
        <w:rPr>
          <w:rStyle w:val="FootnoteReference"/>
          <w:lang w:val="en-US"/>
        </w:rPr>
        <w:footnoteReference w:id="2"/>
      </w:r>
    </w:p>
    <w:p w14:paraId="68D1CB64" w14:textId="743BDC17" w:rsidR="0043220A" w:rsidRPr="00C11FF9" w:rsidRDefault="0043220A" w:rsidP="006C189A">
      <w:pPr>
        <w:jc w:val="both"/>
        <w:rPr>
          <w:lang w:val="en-US"/>
        </w:rPr>
      </w:pPr>
      <w:r w:rsidRPr="00C11FF9">
        <w:rPr>
          <w:lang w:val="en-US"/>
        </w:rPr>
        <w:t>The courts in Montenegro</w:t>
      </w:r>
      <w:r w:rsidR="00C91A09">
        <w:rPr>
          <w:lang w:val="en-US"/>
        </w:rPr>
        <w:t xml:space="preserve"> meet</w:t>
      </w:r>
      <w:r w:rsidRPr="00C11FF9">
        <w:rPr>
          <w:lang w:val="en-US"/>
        </w:rPr>
        <w:t xml:space="preserve"> on average 56.5%, while </w:t>
      </w:r>
      <w:r>
        <w:rPr>
          <w:lang w:val="en-US"/>
        </w:rPr>
        <w:t>prosecutor’s offices meet</w:t>
      </w:r>
      <w:r w:rsidRPr="00C11FF9">
        <w:rPr>
          <w:lang w:val="en-US"/>
        </w:rPr>
        <w:t xml:space="preserve"> 65% of the openness indicators</w:t>
      </w:r>
      <w:r w:rsidR="00C91A09">
        <w:rPr>
          <w:lang w:val="en-US"/>
        </w:rPr>
        <w:t>.</w:t>
      </w:r>
      <w:r w:rsidRPr="00C11FF9">
        <w:rPr>
          <w:rStyle w:val="FootnoteReference"/>
          <w:lang w:val="en-US"/>
        </w:rPr>
        <w:footnoteReference w:id="3"/>
      </w:r>
      <w:r w:rsidRPr="00C11FF9">
        <w:rPr>
          <w:lang w:val="en-US"/>
        </w:rPr>
        <w:t xml:space="preserve"> These are the best results in the region, </w:t>
      </w:r>
      <w:r>
        <w:rPr>
          <w:lang w:val="en-US"/>
        </w:rPr>
        <w:t>evidencing</w:t>
      </w:r>
      <w:r w:rsidRPr="00C11FF9">
        <w:rPr>
          <w:lang w:val="en-US"/>
        </w:rPr>
        <w:t xml:space="preserve"> the low level of openness of the courts and prosecutor</w:t>
      </w:r>
      <w:r w:rsidR="00C91A09">
        <w:rPr>
          <w:lang w:val="en-US"/>
        </w:rPr>
        <w:t>’</w:t>
      </w:r>
      <w:r w:rsidRPr="00C11FF9">
        <w:rPr>
          <w:lang w:val="en-US"/>
        </w:rPr>
        <w:t>s</w:t>
      </w:r>
      <w:r w:rsidR="00C91A09">
        <w:rPr>
          <w:lang w:val="en-US"/>
        </w:rPr>
        <w:t xml:space="preserve"> offices</w:t>
      </w:r>
      <w:r w:rsidRPr="00C11FF9">
        <w:rPr>
          <w:lang w:val="en-US"/>
        </w:rPr>
        <w:t xml:space="preserve"> in the </w:t>
      </w:r>
      <w:r>
        <w:rPr>
          <w:lang w:val="en-US"/>
        </w:rPr>
        <w:t>region</w:t>
      </w:r>
      <w:r w:rsidRPr="00C11FF9">
        <w:rPr>
          <w:lang w:val="en-US"/>
        </w:rPr>
        <w:t>.</w:t>
      </w:r>
    </w:p>
    <w:p w14:paraId="49F25B0C" w14:textId="2DC938A5" w:rsidR="007668AE" w:rsidRPr="00C11FF9" w:rsidRDefault="007668AE" w:rsidP="006C189A">
      <w:pPr>
        <w:jc w:val="both"/>
        <w:rPr>
          <w:lang w:val="en-US"/>
        </w:rPr>
      </w:pPr>
      <w:r w:rsidRPr="00C11FF9">
        <w:rPr>
          <w:lang w:val="en-US"/>
        </w:rPr>
        <w:t>Although this year's result of the openness of judicial institutions in Montenegro needs to be seen in the context of introducing new and more stri</w:t>
      </w:r>
      <w:r w:rsidR="00C91A09">
        <w:rPr>
          <w:lang w:val="en-US"/>
        </w:rPr>
        <w:t>ct</w:t>
      </w:r>
      <w:r w:rsidRPr="00C11FF9">
        <w:rPr>
          <w:lang w:val="en-US"/>
        </w:rPr>
        <w:t xml:space="preserve"> indicators, the fact is that these institutions have not worked enough to develop the openness policy during </w:t>
      </w:r>
      <w:r w:rsidR="0043220A">
        <w:rPr>
          <w:lang w:val="en-US"/>
        </w:rPr>
        <w:t xml:space="preserve">the </w:t>
      </w:r>
      <w:r w:rsidRPr="00C11FF9">
        <w:rPr>
          <w:lang w:val="en-US"/>
        </w:rPr>
        <w:t>last year. In addition, compared to</w:t>
      </w:r>
      <w:r w:rsidR="0043220A">
        <w:rPr>
          <w:lang w:val="en-US"/>
        </w:rPr>
        <w:t xml:space="preserve"> the</w:t>
      </w:r>
      <w:r w:rsidRPr="00C11FF9">
        <w:rPr>
          <w:lang w:val="en-US"/>
        </w:rPr>
        <w:t xml:space="preserve"> last year, a smaller number of judicial institutions have provided answers to the questionnaires, which are sources for assessing individual indicators. The unwillingness to provide answer</w:t>
      </w:r>
      <w:r w:rsidR="0043220A">
        <w:rPr>
          <w:lang w:val="en-US"/>
        </w:rPr>
        <w:t xml:space="preserve">s </w:t>
      </w:r>
      <w:r w:rsidRPr="00C11FF9">
        <w:rPr>
          <w:lang w:val="en-US"/>
        </w:rPr>
        <w:t>i</w:t>
      </w:r>
      <w:r w:rsidR="0043220A">
        <w:rPr>
          <w:lang w:val="en-US"/>
        </w:rPr>
        <w:t xml:space="preserve">s by itself an indicator of </w:t>
      </w:r>
      <w:r w:rsidRPr="00C11FF9">
        <w:rPr>
          <w:lang w:val="en-US"/>
        </w:rPr>
        <w:t>openness of these institutions.</w:t>
      </w:r>
    </w:p>
    <w:p w14:paraId="398F5786" w14:textId="002AC048" w:rsidR="007668AE" w:rsidRPr="00C11FF9" w:rsidRDefault="007668AE" w:rsidP="006C189A">
      <w:pPr>
        <w:rPr>
          <w:lang w:val="en-US"/>
        </w:rPr>
      </w:pPr>
      <w:r w:rsidRPr="00C11FF9">
        <w:rPr>
          <w:lang w:val="en-US"/>
        </w:rPr>
        <w:t xml:space="preserve">Below we present key findings and recommendations for </w:t>
      </w:r>
      <w:r w:rsidR="0043220A">
        <w:rPr>
          <w:lang w:val="en-US"/>
        </w:rPr>
        <w:t>improvement</w:t>
      </w:r>
      <w:r w:rsidRPr="00C11FF9">
        <w:rPr>
          <w:lang w:val="en-US"/>
        </w:rPr>
        <w:t xml:space="preserve"> of openness.</w:t>
      </w:r>
    </w:p>
    <w:p w14:paraId="40D666E9" w14:textId="1BD277EE" w:rsidR="0094711C" w:rsidRPr="00C11FF9" w:rsidRDefault="0043220A" w:rsidP="006C189A">
      <w:pPr>
        <w:rPr>
          <w:lang w:val="en-US"/>
        </w:rPr>
      </w:pPr>
      <w:r>
        <w:rPr>
          <w:lang w:val="en-US"/>
        </w:rPr>
        <w:t>COURTS</w:t>
      </w:r>
    </w:p>
    <w:p w14:paraId="27929627" w14:textId="1B8ED082" w:rsidR="00006E99" w:rsidRPr="00C11FF9" w:rsidRDefault="003C5FAA" w:rsidP="006C189A">
      <w:pPr>
        <w:rPr>
          <w:b/>
          <w:bCs/>
          <w:lang w:val="en-US"/>
        </w:rPr>
      </w:pPr>
      <w:r w:rsidRPr="003C5FAA">
        <w:rPr>
          <w:b/>
          <w:bCs/>
          <w:lang w:val="en-US"/>
        </w:rPr>
        <w:t>Availability of information on the work of courts</w:t>
      </w:r>
    </w:p>
    <w:p w14:paraId="50CCEAAD" w14:textId="22639B6D" w:rsidR="007668AE" w:rsidRPr="00C11FF9" w:rsidRDefault="007668AE" w:rsidP="006C189A">
      <w:pPr>
        <w:jc w:val="both"/>
        <w:rPr>
          <w:lang w:val="en-US"/>
        </w:rPr>
      </w:pPr>
      <w:r w:rsidRPr="00C11FF9">
        <w:rPr>
          <w:lang w:val="en-US"/>
        </w:rPr>
        <w:t>Courts publish most of the administrative information such as scope</w:t>
      </w:r>
      <w:r w:rsidR="003C5FAA">
        <w:rPr>
          <w:lang w:val="en-US"/>
        </w:rPr>
        <w:t xml:space="preserve"> of work</w:t>
      </w:r>
      <w:r w:rsidRPr="00C11FF9">
        <w:rPr>
          <w:lang w:val="en-US"/>
        </w:rPr>
        <w:t xml:space="preserve">, regulations, trial schedules, lists of civil servants </w:t>
      </w:r>
      <w:r w:rsidR="008C0501">
        <w:rPr>
          <w:lang w:val="en-US"/>
        </w:rPr>
        <w:t>and employees with their titles</w:t>
      </w:r>
      <w:r w:rsidRPr="00C11FF9">
        <w:rPr>
          <w:lang w:val="en-US"/>
        </w:rPr>
        <w:t>...</w:t>
      </w:r>
    </w:p>
    <w:p w14:paraId="6053E0D0" w14:textId="0D820CB4" w:rsidR="007668AE" w:rsidRPr="00C11FF9" w:rsidRDefault="007668AE" w:rsidP="006C189A">
      <w:pPr>
        <w:jc w:val="both"/>
        <w:rPr>
          <w:lang w:val="en-US"/>
        </w:rPr>
      </w:pPr>
      <w:r w:rsidRPr="00C11FF9">
        <w:rPr>
          <w:lang w:val="en-US"/>
        </w:rPr>
        <w:lastRenderedPageBreak/>
        <w:t xml:space="preserve">However, the websites of most courts are not </w:t>
      </w:r>
      <w:r w:rsidR="003C5FAA">
        <w:rPr>
          <w:lang w:val="en-US"/>
        </w:rPr>
        <w:t xml:space="preserve">being </w:t>
      </w:r>
      <w:r w:rsidRPr="00C11FF9">
        <w:rPr>
          <w:lang w:val="en-US"/>
        </w:rPr>
        <w:t xml:space="preserve">updated with </w:t>
      </w:r>
      <w:r w:rsidR="00C91A09">
        <w:rPr>
          <w:lang w:val="en-US"/>
        </w:rPr>
        <w:t>press releases</w:t>
      </w:r>
      <w:r w:rsidR="003C5FAA" w:rsidRPr="003C5FAA">
        <w:rPr>
          <w:lang w:val="en-US"/>
        </w:rPr>
        <w:t xml:space="preserve"> or current events</w:t>
      </w:r>
      <w:r w:rsidRPr="00C11FF9">
        <w:rPr>
          <w:lang w:val="en-US"/>
        </w:rPr>
        <w:t>.</w:t>
      </w:r>
    </w:p>
    <w:p w14:paraId="0CE46FF8" w14:textId="6E5C1238" w:rsidR="007668AE" w:rsidRPr="00C11FF9" w:rsidRDefault="003C5FAA" w:rsidP="006C189A">
      <w:pPr>
        <w:jc w:val="both"/>
        <w:rPr>
          <w:lang w:val="en-US"/>
        </w:rPr>
      </w:pPr>
      <w:r>
        <w:rPr>
          <w:lang w:val="en-US"/>
        </w:rPr>
        <w:t>Information on j</w:t>
      </w:r>
      <w:r w:rsidR="007668AE" w:rsidRPr="00C11FF9">
        <w:rPr>
          <w:lang w:val="en-US"/>
        </w:rPr>
        <w:t xml:space="preserve">udges and their biographies </w:t>
      </w:r>
      <w:r w:rsidR="00C91A09">
        <w:rPr>
          <w:lang w:val="en-US"/>
        </w:rPr>
        <w:t>are also available on court web</w:t>
      </w:r>
      <w:r w:rsidR="007668AE" w:rsidRPr="00C11FF9">
        <w:rPr>
          <w:lang w:val="en-US"/>
        </w:rPr>
        <w:t xml:space="preserve">sites, but no contact information is published. </w:t>
      </w:r>
      <w:r>
        <w:rPr>
          <w:lang w:val="en-US"/>
        </w:rPr>
        <w:t>Moreover</w:t>
      </w:r>
      <w:r w:rsidR="007668AE" w:rsidRPr="00C11FF9">
        <w:rPr>
          <w:lang w:val="en-US"/>
        </w:rPr>
        <w:t xml:space="preserve">, </w:t>
      </w:r>
      <w:r>
        <w:rPr>
          <w:lang w:val="en-US"/>
        </w:rPr>
        <w:t xml:space="preserve">publishing information on earnings </w:t>
      </w:r>
      <w:r w:rsidR="007668AE" w:rsidRPr="00C11FF9">
        <w:rPr>
          <w:lang w:val="en-US"/>
        </w:rPr>
        <w:t xml:space="preserve">is </w:t>
      </w:r>
      <w:r>
        <w:rPr>
          <w:lang w:val="en-US"/>
        </w:rPr>
        <w:t xml:space="preserve">also </w:t>
      </w:r>
      <w:r w:rsidR="007668AE" w:rsidRPr="00C11FF9">
        <w:rPr>
          <w:lang w:val="en-US"/>
        </w:rPr>
        <w:t>not a practice.</w:t>
      </w:r>
    </w:p>
    <w:p w14:paraId="7549978A" w14:textId="525631A8" w:rsidR="007668AE" w:rsidRPr="008C0501" w:rsidRDefault="00C91A09" w:rsidP="006C189A">
      <w:pPr>
        <w:jc w:val="both"/>
        <w:rPr>
          <w:lang w:val="en-US"/>
        </w:rPr>
      </w:pPr>
      <w:r>
        <w:rPr>
          <w:lang w:val="en-US"/>
        </w:rPr>
        <w:t>C</w:t>
      </w:r>
      <w:r w:rsidR="007668AE" w:rsidRPr="00C11FF9">
        <w:rPr>
          <w:lang w:val="en-US"/>
        </w:rPr>
        <w:t xml:space="preserve">ourts </w:t>
      </w:r>
      <w:r>
        <w:rPr>
          <w:lang w:val="en-US"/>
        </w:rPr>
        <w:t>published</w:t>
      </w:r>
      <w:r w:rsidR="007668AE" w:rsidRPr="00C11FF9">
        <w:rPr>
          <w:lang w:val="en-US"/>
        </w:rPr>
        <w:t xml:space="preserve"> plans and work programs for 2017, which was not a practice in previous years. Namely, 2016 and 2015 plans are not </w:t>
      </w:r>
      <w:r w:rsidR="007668AE" w:rsidRPr="008C0501">
        <w:rPr>
          <w:lang w:val="en-US"/>
        </w:rPr>
        <w:t xml:space="preserve">available on </w:t>
      </w:r>
      <w:r w:rsidR="003C5FAA" w:rsidRPr="008C0501">
        <w:rPr>
          <w:lang w:val="en-US"/>
        </w:rPr>
        <w:t>web</w:t>
      </w:r>
      <w:r w:rsidR="007668AE" w:rsidRPr="008C0501">
        <w:rPr>
          <w:lang w:val="en-US"/>
        </w:rPr>
        <w:t>sites</w:t>
      </w:r>
      <w:r w:rsidR="003C5FAA" w:rsidRPr="008C0501">
        <w:rPr>
          <w:lang w:val="en-US"/>
        </w:rPr>
        <w:t xml:space="preserve"> of most courts</w:t>
      </w:r>
      <w:r w:rsidR="007668AE" w:rsidRPr="008C0501">
        <w:rPr>
          <w:lang w:val="en-US"/>
        </w:rPr>
        <w:t>.</w:t>
      </w:r>
    </w:p>
    <w:p w14:paraId="0A244BBD" w14:textId="06144EEA" w:rsidR="007668AE" w:rsidRPr="00C11FF9" w:rsidRDefault="007668AE" w:rsidP="006C189A">
      <w:pPr>
        <w:jc w:val="both"/>
        <w:rPr>
          <w:lang w:val="en-US"/>
        </w:rPr>
      </w:pPr>
      <w:r w:rsidRPr="008C0501">
        <w:rPr>
          <w:lang w:val="en-US"/>
        </w:rPr>
        <w:t xml:space="preserve">Courts also have the practice of publishing work reports, but </w:t>
      </w:r>
      <w:r w:rsidR="008C0501" w:rsidRPr="008C0501">
        <w:rPr>
          <w:lang w:val="en-US"/>
        </w:rPr>
        <w:t xml:space="preserve">not </w:t>
      </w:r>
      <w:r w:rsidRPr="008C0501">
        <w:rPr>
          <w:lang w:val="en-US"/>
        </w:rPr>
        <w:t xml:space="preserve">all three work </w:t>
      </w:r>
      <w:r w:rsidR="008C0501" w:rsidRPr="008C0501">
        <w:rPr>
          <w:lang w:val="en-US"/>
        </w:rPr>
        <w:t>reports from previous years are</w:t>
      </w:r>
      <w:r w:rsidRPr="008C0501">
        <w:rPr>
          <w:lang w:val="en-US"/>
        </w:rPr>
        <w:t xml:space="preserve"> available on </w:t>
      </w:r>
      <w:r w:rsidR="008C0501" w:rsidRPr="008C0501">
        <w:rPr>
          <w:lang w:val="en-US"/>
        </w:rPr>
        <w:t xml:space="preserve">the </w:t>
      </w:r>
      <w:r w:rsidR="003C5FAA" w:rsidRPr="008C0501">
        <w:rPr>
          <w:lang w:val="en-US"/>
        </w:rPr>
        <w:t xml:space="preserve">websites of </w:t>
      </w:r>
      <w:r w:rsidR="008C0501" w:rsidRPr="008C0501">
        <w:rPr>
          <w:lang w:val="en-US"/>
        </w:rPr>
        <w:t>quarter of c</w:t>
      </w:r>
      <w:r w:rsidRPr="008C0501">
        <w:rPr>
          <w:lang w:val="en-US"/>
        </w:rPr>
        <w:t>ourts. Around a fifth of courts published periodic</w:t>
      </w:r>
      <w:r w:rsidR="00C91A09">
        <w:rPr>
          <w:lang w:val="en-US"/>
        </w:rPr>
        <w:t xml:space="preserve">al work reports during 2017, </w:t>
      </w:r>
      <w:r w:rsidRPr="008C0501">
        <w:rPr>
          <w:lang w:val="en-US"/>
        </w:rPr>
        <w:t>contain</w:t>
      </w:r>
      <w:r w:rsidR="00C91A09">
        <w:rPr>
          <w:lang w:val="en-US"/>
        </w:rPr>
        <w:t>ing</w:t>
      </w:r>
      <w:r w:rsidRPr="008C0501">
        <w:rPr>
          <w:lang w:val="en-US"/>
        </w:rPr>
        <w:t xml:space="preserve"> a general overview of the quality of work of the court.</w:t>
      </w:r>
    </w:p>
    <w:p w14:paraId="67F3AC9B" w14:textId="54240BF2" w:rsidR="007668AE" w:rsidRPr="00C11FF9" w:rsidRDefault="007668AE" w:rsidP="006C189A">
      <w:pPr>
        <w:jc w:val="both"/>
        <w:rPr>
          <w:lang w:val="en-US"/>
        </w:rPr>
      </w:pPr>
      <w:r w:rsidRPr="00C11FF9">
        <w:rPr>
          <w:lang w:val="en-US"/>
        </w:rPr>
        <w:t>On the other hand, courts have to improve the quality of annual work reports so that they can be easily understood by the general public. Reports contain court statistics, so they need to be supplemented w</w:t>
      </w:r>
      <w:r w:rsidR="003C5FAA">
        <w:rPr>
          <w:lang w:val="en-US"/>
        </w:rPr>
        <w:t>ith other information relevant for</w:t>
      </w:r>
      <w:r w:rsidRPr="00C11FF9">
        <w:rPr>
          <w:lang w:val="en-US"/>
        </w:rPr>
        <w:t xml:space="preserve"> the</w:t>
      </w:r>
      <w:r w:rsidR="003C5FAA">
        <w:rPr>
          <w:lang w:val="en-US"/>
        </w:rPr>
        <w:t xml:space="preserve"> manner</w:t>
      </w:r>
      <w:r w:rsidRPr="00C11FF9">
        <w:rPr>
          <w:lang w:val="en-US"/>
        </w:rPr>
        <w:t xml:space="preserve"> the court operates and functions. Reports should contain information on work problems and their causes, with conclusions and recommendations for their resolution.</w:t>
      </w:r>
      <w:r w:rsidR="003C5FAA" w:rsidRPr="00C11FF9">
        <w:rPr>
          <w:rStyle w:val="FootnoteReference"/>
          <w:lang w:val="en-US"/>
        </w:rPr>
        <w:footnoteReference w:id="4"/>
      </w:r>
    </w:p>
    <w:p w14:paraId="68313673" w14:textId="33A76997" w:rsidR="003F39F6" w:rsidRPr="00E45597" w:rsidRDefault="003C5FAA" w:rsidP="006C189A">
      <w:pPr>
        <w:jc w:val="both"/>
        <w:rPr>
          <w:b/>
          <w:bCs/>
          <w:lang w:val="en-US"/>
        </w:rPr>
      </w:pPr>
      <w:r w:rsidRPr="00E45597">
        <w:rPr>
          <w:b/>
          <w:bCs/>
          <w:lang w:val="en-US"/>
        </w:rPr>
        <w:t>Publicity of the trial</w:t>
      </w:r>
    </w:p>
    <w:p w14:paraId="6C36D2C3" w14:textId="13D91018" w:rsidR="007668AE" w:rsidRPr="00C11FF9" w:rsidRDefault="007668AE" w:rsidP="006C189A">
      <w:pPr>
        <w:jc w:val="both"/>
        <w:rPr>
          <w:lang w:val="en-US"/>
        </w:rPr>
      </w:pPr>
      <w:r w:rsidRPr="00E45597">
        <w:rPr>
          <w:lang w:val="en-US"/>
        </w:rPr>
        <w:t xml:space="preserve">The principle of </w:t>
      </w:r>
      <w:r w:rsidR="00E45597" w:rsidRPr="00E45597">
        <w:rPr>
          <w:lang w:val="en-US"/>
        </w:rPr>
        <w:t xml:space="preserve">publicity of </w:t>
      </w:r>
      <w:r w:rsidRPr="00E45597">
        <w:rPr>
          <w:lang w:val="en-US"/>
        </w:rPr>
        <w:t xml:space="preserve">the trial is generally respected, but in some </w:t>
      </w:r>
      <w:r w:rsidR="00E45597" w:rsidRPr="00E45597">
        <w:rPr>
          <w:lang w:val="en-US"/>
        </w:rPr>
        <w:t>courts</w:t>
      </w:r>
      <w:r w:rsidRPr="00E45597">
        <w:rPr>
          <w:lang w:val="en-US"/>
        </w:rPr>
        <w:t xml:space="preserve"> there are still some </w:t>
      </w:r>
      <w:r w:rsidRPr="008C0501">
        <w:rPr>
          <w:lang w:val="en-US"/>
        </w:rPr>
        <w:t>spa</w:t>
      </w:r>
      <w:r w:rsidR="00C91A09">
        <w:rPr>
          <w:lang w:val="en-US"/>
        </w:rPr>
        <w:t>ce</w:t>
      </w:r>
      <w:r w:rsidRPr="008C0501">
        <w:rPr>
          <w:lang w:val="en-US"/>
        </w:rPr>
        <w:t xml:space="preserve"> limitations</w:t>
      </w:r>
      <w:r w:rsidRPr="00E45597">
        <w:rPr>
          <w:lang w:val="en-US"/>
        </w:rPr>
        <w:t xml:space="preserve"> that can lead to limitation of this right</w:t>
      </w:r>
      <w:r w:rsidR="00E45597" w:rsidRPr="00E45597">
        <w:rPr>
          <w:rStyle w:val="FootnoteReference"/>
          <w:lang w:val="en-US"/>
        </w:rPr>
        <w:footnoteReference w:id="5"/>
      </w:r>
      <w:r w:rsidRPr="00E45597">
        <w:rPr>
          <w:lang w:val="en-US"/>
        </w:rPr>
        <w:t>. In addition, not all courts are accessible to wheelchair users.</w:t>
      </w:r>
    </w:p>
    <w:p w14:paraId="512A7236" w14:textId="3DAB18E1" w:rsidR="007668AE" w:rsidRPr="00C11FF9" w:rsidRDefault="007668AE" w:rsidP="006C189A">
      <w:pPr>
        <w:jc w:val="both"/>
        <w:rPr>
          <w:lang w:val="en-US"/>
        </w:rPr>
      </w:pPr>
      <w:r w:rsidRPr="00C11FF9">
        <w:rPr>
          <w:lang w:val="en-US"/>
        </w:rPr>
        <w:t xml:space="preserve">Courts publish judgments with explanations, but </w:t>
      </w:r>
      <w:r w:rsidR="00C91A09">
        <w:rPr>
          <w:lang w:val="en-US"/>
        </w:rPr>
        <w:t>publishing</w:t>
      </w:r>
      <w:r w:rsidRPr="00C11FF9">
        <w:rPr>
          <w:lang w:val="en-US"/>
        </w:rPr>
        <w:t xml:space="preserve"> minutes of trial is still not a court practice. </w:t>
      </w:r>
      <w:r w:rsidR="00E45597">
        <w:rPr>
          <w:lang w:val="en-US"/>
        </w:rPr>
        <w:t>Moreover,</w:t>
      </w:r>
      <w:r w:rsidRPr="00C11FF9">
        <w:rPr>
          <w:lang w:val="en-US"/>
        </w:rPr>
        <w:t xml:space="preserve"> courts do not</w:t>
      </w:r>
      <w:r w:rsidR="00E45597">
        <w:rPr>
          <w:lang w:val="en-US"/>
        </w:rPr>
        <w:t xml:space="preserve"> publish</w:t>
      </w:r>
      <w:r w:rsidRPr="00C11FF9">
        <w:rPr>
          <w:lang w:val="en-US"/>
        </w:rPr>
        <w:t xml:space="preserve"> </w:t>
      </w:r>
      <w:r w:rsidR="00E45597">
        <w:rPr>
          <w:lang w:val="en-US"/>
        </w:rPr>
        <w:t>dissenting o</w:t>
      </w:r>
      <w:r w:rsidR="00E45597" w:rsidRPr="00E45597">
        <w:rPr>
          <w:lang w:val="en-US"/>
        </w:rPr>
        <w:t>pinion</w:t>
      </w:r>
      <w:r w:rsidR="00E45597">
        <w:rPr>
          <w:lang w:val="en-US"/>
        </w:rPr>
        <w:t>s</w:t>
      </w:r>
      <w:r w:rsidR="00E45597" w:rsidRPr="00E45597">
        <w:rPr>
          <w:lang w:val="en-US"/>
        </w:rPr>
        <w:t xml:space="preserve"> </w:t>
      </w:r>
      <w:r w:rsidRPr="00C11FF9">
        <w:rPr>
          <w:lang w:val="en-US"/>
        </w:rPr>
        <w:t>of panel members, which is an important standard of court transparency.</w:t>
      </w:r>
      <w:r w:rsidR="00E45597" w:rsidRPr="00E45597">
        <w:rPr>
          <w:rStyle w:val="FootnoteReference"/>
          <w:lang w:val="en-US"/>
        </w:rPr>
        <w:footnoteReference w:id="6"/>
      </w:r>
    </w:p>
    <w:p w14:paraId="6F467621" w14:textId="34ABF0B8" w:rsidR="00575A0D" w:rsidRPr="00C11FF9" w:rsidRDefault="00092363" w:rsidP="006C189A">
      <w:pPr>
        <w:jc w:val="both"/>
        <w:rPr>
          <w:b/>
          <w:bCs/>
          <w:lang w:val="en-US"/>
        </w:rPr>
      </w:pPr>
      <w:r w:rsidRPr="00092363">
        <w:rPr>
          <w:b/>
          <w:bCs/>
          <w:lang w:val="en-US"/>
        </w:rPr>
        <w:t>Public relations</w:t>
      </w:r>
    </w:p>
    <w:p w14:paraId="0E7EB845" w14:textId="7E7D8473" w:rsidR="00092363" w:rsidRPr="00C11FF9" w:rsidRDefault="00092363" w:rsidP="006C189A">
      <w:pPr>
        <w:jc w:val="both"/>
        <w:rPr>
          <w:lang w:val="en-US"/>
        </w:rPr>
      </w:pPr>
      <w:r w:rsidRPr="00C11FF9">
        <w:rPr>
          <w:lang w:val="en-US"/>
        </w:rPr>
        <w:t xml:space="preserve">Courts </w:t>
      </w:r>
      <w:r w:rsidRPr="008C0501">
        <w:rPr>
          <w:lang w:val="en-US"/>
        </w:rPr>
        <w:t xml:space="preserve">should improve the mechanisms for communicating with the public. Our last year's findings pointed to the need </w:t>
      </w:r>
      <w:r w:rsidR="008C0501" w:rsidRPr="008C0501">
        <w:rPr>
          <w:lang w:val="en-US"/>
        </w:rPr>
        <w:t xml:space="preserve">for </w:t>
      </w:r>
      <w:r w:rsidRPr="008C0501">
        <w:rPr>
          <w:lang w:val="en-US"/>
        </w:rPr>
        <w:t>improve</w:t>
      </w:r>
      <w:r w:rsidR="008C0501" w:rsidRPr="008C0501">
        <w:rPr>
          <w:lang w:val="en-US"/>
        </w:rPr>
        <w:t>ment</w:t>
      </w:r>
      <w:r w:rsidR="008C0501">
        <w:rPr>
          <w:lang w:val="en-US"/>
        </w:rPr>
        <w:t xml:space="preserve"> of</w:t>
      </w:r>
      <w:r w:rsidRPr="00C11FF9">
        <w:rPr>
          <w:lang w:val="en-US"/>
        </w:rPr>
        <w:t xml:space="preserve"> </w:t>
      </w:r>
      <w:r w:rsidR="008C0501">
        <w:rPr>
          <w:lang w:val="en-US"/>
        </w:rPr>
        <w:t xml:space="preserve">courts’ </w:t>
      </w:r>
      <w:r w:rsidRPr="00C11FF9">
        <w:rPr>
          <w:lang w:val="en-US"/>
        </w:rPr>
        <w:t xml:space="preserve">communication policy with the media and the public, through the training </w:t>
      </w:r>
      <w:r w:rsidR="00C667EC">
        <w:rPr>
          <w:lang w:val="en-US"/>
        </w:rPr>
        <w:t>for</w:t>
      </w:r>
      <w:r w:rsidR="00C667EC" w:rsidRPr="00C667EC">
        <w:rPr>
          <w:lang w:val="en-US"/>
        </w:rPr>
        <w:t xml:space="preserve"> spokesman </w:t>
      </w:r>
      <w:r w:rsidR="00C667EC">
        <w:rPr>
          <w:lang w:val="en-US"/>
        </w:rPr>
        <w:t>and</w:t>
      </w:r>
      <w:r w:rsidRPr="00C11FF9">
        <w:rPr>
          <w:lang w:val="en-US"/>
        </w:rPr>
        <w:t xml:space="preserve"> development of a Communication Strategy. Although there is a person or public relations </w:t>
      </w:r>
      <w:r w:rsidR="00C667EC">
        <w:rPr>
          <w:lang w:val="en-US"/>
        </w:rPr>
        <w:t>service</w:t>
      </w:r>
      <w:r w:rsidRPr="00C11FF9">
        <w:rPr>
          <w:lang w:val="en-US"/>
        </w:rPr>
        <w:t xml:space="preserve"> in most courts, a large number of courts have no practice of publishing </w:t>
      </w:r>
      <w:r w:rsidR="00C667EC">
        <w:rPr>
          <w:lang w:val="en-US"/>
        </w:rPr>
        <w:t>press releases</w:t>
      </w:r>
      <w:r w:rsidRPr="00C11FF9">
        <w:rPr>
          <w:lang w:val="en-US"/>
        </w:rPr>
        <w:t xml:space="preserve">, which would make the public aware of the </w:t>
      </w:r>
      <w:r w:rsidR="00C667EC" w:rsidRPr="00C11FF9">
        <w:rPr>
          <w:lang w:val="en-US"/>
        </w:rPr>
        <w:t>news</w:t>
      </w:r>
      <w:r w:rsidR="00C667EC">
        <w:rPr>
          <w:lang w:val="en-US"/>
        </w:rPr>
        <w:t xml:space="preserve">; also </w:t>
      </w:r>
      <w:r w:rsidR="00C667EC" w:rsidRPr="00C11FF9">
        <w:rPr>
          <w:lang w:val="en-US"/>
        </w:rPr>
        <w:t>other methods of communication</w:t>
      </w:r>
      <w:r w:rsidR="00C667EC">
        <w:rPr>
          <w:lang w:val="en-US"/>
        </w:rPr>
        <w:t xml:space="preserve"> are not being</w:t>
      </w:r>
      <w:r w:rsidRPr="00C11FF9">
        <w:rPr>
          <w:lang w:val="en-US"/>
        </w:rPr>
        <w:t xml:space="preserve"> actively use</w:t>
      </w:r>
      <w:r w:rsidR="00C667EC">
        <w:rPr>
          <w:lang w:val="en-US"/>
        </w:rPr>
        <w:t>d</w:t>
      </w:r>
      <w:r w:rsidRPr="00C11FF9">
        <w:rPr>
          <w:lang w:val="en-US"/>
        </w:rPr>
        <w:t>. In addition, the courts have informed us that they have no guidelines for cooperation with the media regarding their reporting on the work of the court. However, according to the Supreme Court's Work</w:t>
      </w:r>
      <w:r w:rsidR="00C667EC" w:rsidRPr="00C667EC">
        <w:rPr>
          <w:lang w:val="en-US"/>
        </w:rPr>
        <w:t xml:space="preserve"> </w:t>
      </w:r>
      <w:r w:rsidR="00C667EC">
        <w:rPr>
          <w:lang w:val="en-US"/>
        </w:rPr>
        <w:t>Plan</w:t>
      </w:r>
      <w:r w:rsidRPr="00C11FF9">
        <w:rPr>
          <w:lang w:val="en-US"/>
        </w:rPr>
        <w:t xml:space="preserve">, in the first half of this year, </w:t>
      </w:r>
      <w:r w:rsidR="00C667EC">
        <w:rPr>
          <w:lang w:val="en-US"/>
        </w:rPr>
        <w:t xml:space="preserve">development of </w:t>
      </w:r>
      <w:r w:rsidRPr="00C11FF9">
        <w:rPr>
          <w:lang w:val="en-US"/>
        </w:rPr>
        <w:t xml:space="preserve">a Communication </w:t>
      </w:r>
      <w:r w:rsidR="00C667EC">
        <w:rPr>
          <w:lang w:val="en-US"/>
        </w:rPr>
        <w:t>Protocol for the courts</w:t>
      </w:r>
      <w:r w:rsidRPr="00C11FF9">
        <w:rPr>
          <w:lang w:val="en-US"/>
        </w:rPr>
        <w:t xml:space="preserve"> in Montenegro, which could solve the</w:t>
      </w:r>
      <w:r w:rsidR="00C667EC">
        <w:rPr>
          <w:lang w:val="en-US"/>
        </w:rPr>
        <w:t>se challenges, is planned. The Communication P</w:t>
      </w:r>
      <w:r w:rsidRPr="00C11FF9">
        <w:rPr>
          <w:lang w:val="en-US"/>
        </w:rPr>
        <w:t>rotocol should improve the transparency of courts and strengthen cooperation with the media</w:t>
      </w:r>
      <w:r w:rsidR="00C667EC" w:rsidRPr="00C11FF9">
        <w:rPr>
          <w:rStyle w:val="FootnoteReference"/>
          <w:lang w:val="en-US"/>
        </w:rPr>
        <w:footnoteReference w:id="7"/>
      </w:r>
      <w:r w:rsidRPr="00C11FF9">
        <w:rPr>
          <w:lang w:val="en-US"/>
        </w:rPr>
        <w:t>. The Supreme Court pointed out that the protocol is in the process of drafting, but there is still no information on when it will be officially completed and adopted.</w:t>
      </w:r>
    </w:p>
    <w:p w14:paraId="72203F92" w14:textId="67E6515E" w:rsidR="007668AE" w:rsidRPr="00C11FF9" w:rsidRDefault="007668AE" w:rsidP="006C189A">
      <w:pPr>
        <w:jc w:val="both"/>
        <w:rPr>
          <w:lang w:val="en-US"/>
        </w:rPr>
      </w:pPr>
      <w:r w:rsidRPr="00C11FF9">
        <w:rPr>
          <w:lang w:val="en-US"/>
        </w:rPr>
        <w:lastRenderedPageBreak/>
        <w:t>Courts should also improve their capacities to apply the</w:t>
      </w:r>
      <w:r w:rsidR="0061381C">
        <w:rPr>
          <w:lang w:val="en-US"/>
        </w:rPr>
        <w:t xml:space="preserve"> Law on</w:t>
      </w:r>
      <w:r w:rsidRPr="00C11FF9">
        <w:rPr>
          <w:lang w:val="en-US"/>
        </w:rPr>
        <w:t xml:space="preserve"> Free Access to Information. More than half of courts (55%) who provided the answers to the questionnaires informed us that they had not participated in </w:t>
      </w:r>
      <w:r w:rsidR="0061381C">
        <w:rPr>
          <w:lang w:val="en-US"/>
        </w:rPr>
        <w:t>any</w:t>
      </w:r>
      <w:r w:rsidRPr="00C11FF9">
        <w:rPr>
          <w:lang w:val="en-US"/>
        </w:rPr>
        <w:t xml:space="preserve"> of the free access</w:t>
      </w:r>
      <w:r w:rsidR="0061381C">
        <w:rPr>
          <w:lang w:val="en-US"/>
        </w:rPr>
        <w:t xml:space="preserve"> to</w:t>
      </w:r>
      <w:r w:rsidRPr="00C11FF9">
        <w:rPr>
          <w:lang w:val="en-US"/>
        </w:rPr>
        <w:t xml:space="preserve"> information training</w:t>
      </w:r>
      <w:r w:rsidR="0061381C">
        <w:rPr>
          <w:lang w:val="en-US"/>
        </w:rPr>
        <w:t>s</w:t>
      </w:r>
      <w:r w:rsidRPr="00C11FF9">
        <w:rPr>
          <w:lang w:val="en-US"/>
        </w:rPr>
        <w:t xml:space="preserve"> in the previous period.</w:t>
      </w:r>
    </w:p>
    <w:p w14:paraId="3C6557FD" w14:textId="6B382B4B" w:rsidR="007668AE" w:rsidRPr="00C11FF9" w:rsidRDefault="0061381C" w:rsidP="006C189A">
      <w:pPr>
        <w:jc w:val="both"/>
        <w:rPr>
          <w:lang w:val="en-US"/>
        </w:rPr>
      </w:pPr>
      <w:r>
        <w:rPr>
          <w:lang w:val="en-US"/>
        </w:rPr>
        <w:t>It</w:t>
      </w:r>
      <w:r w:rsidR="007668AE" w:rsidRPr="00C11FF9">
        <w:rPr>
          <w:lang w:val="en-US"/>
        </w:rPr>
        <w:t xml:space="preserve"> should </w:t>
      </w:r>
      <w:r>
        <w:rPr>
          <w:lang w:val="en-US"/>
        </w:rPr>
        <w:t xml:space="preserve">also </w:t>
      </w:r>
      <w:r w:rsidR="007668AE" w:rsidRPr="00C11FF9">
        <w:rPr>
          <w:lang w:val="en-US"/>
        </w:rPr>
        <w:t>be added that 23% of courts</w:t>
      </w:r>
      <w:r>
        <w:rPr>
          <w:lang w:val="en-US"/>
        </w:rPr>
        <w:t xml:space="preserve"> do not have published updated G</w:t>
      </w:r>
      <w:r w:rsidR="007668AE" w:rsidRPr="00C11FF9">
        <w:rPr>
          <w:lang w:val="en-US"/>
        </w:rPr>
        <w:t>uide</w:t>
      </w:r>
      <w:r>
        <w:rPr>
          <w:lang w:val="en-US"/>
        </w:rPr>
        <w:t>line</w:t>
      </w:r>
      <w:r w:rsidR="007668AE" w:rsidRPr="00C11FF9">
        <w:rPr>
          <w:lang w:val="en-US"/>
        </w:rPr>
        <w:t xml:space="preserve">s on their websites, and 92% do not publish a database with information </w:t>
      </w:r>
      <w:r>
        <w:rPr>
          <w:lang w:val="en-US"/>
        </w:rPr>
        <w:t>granted access</w:t>
      </w:r>
      <w:r w:rsidR="007668AE" w:rsidRPr="00C11FF9">
        <w:rPr>
          <w:lang w:val="en-US"/>
        </w:rPr>
        <w:t xml:space="preserve"> upon request.</w:t>
      </w:r>
    </w:p>
    <w:p w14:paraId="067017BF" w14:textId="44BC72FE" w:rsidR="003F39F6" w:rsidRPr="00C11FF9" w:rsidRDefault="0061381C" w:rsidP="006C189A">
      <w:pPr>
        <w:jc w:val="both"/>
        <w:rPr>
          <w:b/>
          <w:bCs/>
          <w:lang w:val="en-US"/>
        </w:rPr>
      </w:pPr>
      <w:r>
        <w:rPr>
          <w:b/>
          <w:bCs/>
          <w:lang w:val="en-US"/>
        </w:rPr>
        <w:t>C</w:t>
      </w:r>
      <w:r w:rsidRPr="0061381C">
        <w:rPr>
          <w:b/>
          <w:bCs/>
          <w:lang w:val="en-US"/>
        </w:rPr>
        <w:t>odes of Ethics</w:t>
      </w:r>
    </w:p>
    <w:p w14:paraId="465405C5" w14:textId="7FD4847F" w:rsidR="007668AE" w:rsidRPr="00C11FF9" w:rsidRDefault="007668AE" w:rsidP="006C189A">
      <w:pPr>
        <w:jc w:val="both"/>
        <w:rPr>
          <w:lang w:val="en-US"/>
        </w:rPr>
      </w:pPr>
      <w:r w:rsidRPr="00C11FF9">
        <w:rPr>
          <w:lang w:val="en-US"/>
        </w:rPr>
        <w:t>On the website</w:t>
      </w:r>
      <w:r w:rsidR="009B1B05">
        <w:rPr>
          <w:lang w:val="en-US"/>
        </w:rPr>
        <w:t>s</w:t>
      </w:r>
      <w:r w:rsidR="00C91A09">
        <w:rPr>
          <w:lang w:val="en-US"/>
        </w:rPr>
        <w:t xml:space="preserve"> of 31% of</w:t>
      </w:r>
      <w:r w:rsidRPr="00C11FF9">
        <w:rPr>
          <w:lang w:val="en-US"/>
        </w:rPr>
        <w:t xml:space="preserve"> courts there is no published Code of </w:t>
      </w:r>
      <w:r w:rsidR="009B1B05">
        <w:rPr>
          <w:lang w:val="en-US"/>
        </w:rPr>
        <w:t xml:space="preserve">Ethics of </w:t>
      </w:r>
      <w:r w:rsidR="00C91A09">
        <w:rPr>
          <w:lang w:val="en-US"/>
        </w:rPr>
        <w:t>Judges, and 38% did</w:t>
      </w:r>
      <w:r w:rsidRPr="00C11FF9">
        <w:rPr>
          <w:lang w:val="en-US"/>
        </w:rPr>
        <w:t xml:space="preserve"> not publish the Code of Ethics of Civil Servants and Employees, which defines the standards and rul</w:t>
      </w:r>
      <w:r w:rsidR="009B1B05">
        <w:rPr>
          <w:lang w:val="en-US"/>
        </w:rPr>
        <w:t>es of conduct of the employees of</w:t>
      </w:r>
      <w:r w:rsidRPr="00C11FF9">
        <w:rPr>
          <w:lang w:val="en-US"/>
        </w:rPr>
        <w:t xml:space="preserve"> the court. Most courts publish complaint forms. They are not available on 15% of the </w:t>
      </w:r>
      <w:r w:rsidR="00C91A09">
        <w:rPr>
          <w:lang w:val="en-US"/>
        </w:rPr>
        <w:t>web</w:t>
      </w:r>
      <w:r w:rsidRPr="00C11FF9">
        <w:rPr>
          <w:lang w:val="en-US"/>
        </w:rPr>
        <w:t>sites.</w:t>
      </w:r>
    </w:p>
    <w:p w14:paraId="53FF9A67" w14:textId="7789D859" w:rsidR="007668AE" w:rsidRPr="00C11FF9" w:rsidRDefault="007668AE" w:rsidP="006C189A">
      <w:pPr>
        <w:jc w:val="both"/>
        <w:rPr>
          <w:lang w:val="en-US"/>
        </w:rPr>
      </w:pPr>
      <w:r w:rsidRPr="00C11FF9">
        <w:rPr>
          <w:lang w:val="en-US"/>
        </w:rPr>
        <w:t xml:space="preserve">On the other hand, there </w:t>
      </w:r>
      <w:r w:rsidR="009B1B05" w:rsidRPr="00C11FF9">
        <w:rPr>
          <w:lang w:val="en-US"/>
        </w:rPr>
        <w:t>is</w:t>
      </w:r>
      <w:r w:rsidRPr="00C11FF9">
        <w:rPr>
          <w:lang w:val="en-US"/>
        </w:rPr>
        <w:t xml:space="preserve"> no information on </w:t>
      </w:r>
      <w:r w:rsidR="00C91A09">
        <w:rPr>
          <w:lang w:val="en-US"/>
        </w:rPr>
        <w:t xml:space="preserve">filed </w:t>
      </w:r>
      <w:r w:rsidRPr="00C11FF9">
        <w:rPr>
          <w:lang w:val="en-US"/>
        </w:rPr>
        <w:t>complaints in court</w:t>
      </w:r>
      <w:r w:rsidR="009B1B05">
        <w:rPr>
          <w:lang w:val="en-US"/>
        </w:rPr>
        <w:t xml:space="preserve"> work</w:t>
      </w:r>
      <w:r w:rsidRPr="00C11FF9">
        <w:rPr>
          <w:lang w:val="en-US"/>
        </w:rPr>
        <w:t xml:space="preserve"> reports, as well as violations of the Code of Ethics</w:t>
      </w:r>
      <w:r w:rsidR="009B1B05">
        <w:rPr>
          <w:lang w:val="en-US"/>
        </w:rPr>
        <w:t xml:space="preserve"> of Judges</w:t>
      </w:r>
      <w:r w:rsidRPr="00C11FF9">
        <w:rPr>
          <w:lang w:val="en-US"/>
        </w:rPr>
        <w:t xml:space="preserve"> or disciplinary responsibility of judges. This information is available in </w:t>
      </w:r>
      <w:r w:rsidR="009B1B05">
        <w:rPr>
          <w:lang w:val="en-US"/>
        </w:rPr>
        <w:t xml:space="preserve">documents of the Commission for the </w:t>
      </w:r>
      <w:r w:rsidRPr="00C11FF9">
        <w:rPr>
          <w:lang w:val="en-US"/>
        </w:rPr>
        <w:t xml:space="preserve">Code </w:t>
      </w:r>
      <w:r w:rsidR="009B1B05">
        <w:rPr>
          <w:lang w:val="en-US"/>
        </w:rPr>
        <w:t>of Ethics</w:t>
      </w:r>
      <w:r w:rsidRPr="00C11FF9">
        <w:rPr>
          <w:lang w:val="en-US"/>
        </w:rPr>
        <w:t>.</w:t>
      </w:r>
    </w:p>
    <w:p w14:paraId="299D92E8" w14:textId="0F2C1B76" w:rsidR="007668AE" w:rsidRPr="00C11FF9" w:rsidRDefault="007668AE" w:rsidP="006C189A">
      <w:pPr>
        <w:jc w:val="both"/>
        <w:rPr>
          <w:lang w:val="en-US"/>
        </w:rPr>
      </w:pPr>
      <w:r w:rsidRPr="00C11FF9">
        <w:rPr>
          <w:lang w:val="en-US"/>
        </w:rPr>
        <w:t xml:space="preserve">There are no mechanisms (such as </w:t>
      </w:r>
      <w:r w:rsidR="009B1B05">
        <w:rPr>
          <w:lang w:val="en-US"/>
        </w:rPr>
        <w:t>leaflet</w:t>
      </w:r>
      <w:r w:rsidRPr="00C11FF9">
        <w:rPr>
          <w:lang w:val="en-US"/>
        </w:rPr>
        <w:t>s, publications, telephone lines ...) on the website</w:t>
      </w:r>
      <w:r w:rsidR="00C91A09">
        <w:rPr>
          <w:lang w:val="en-US"/>
        </w:rPr>
        <w:t>s of 23% of courts</w:t>
      </w:r>
      <w:r w:rsidRPr="00C11FF9">
        <w:rPr>
          <w:lang w:val="en-US"/>
        </w:rPr>
        <w:t xml:space="preserve"> intended to inform vulnerable groups about their rights and adequate legal remedies.</w:t>
      </w:r>
    </w:p>
    <w:p w14:paraId="5190B3D8" w14:textId="09C083BE" w:rsidR="00402782" w:rsidRPr="00C11FF9" w:rsidRDefault="009B1B05" w:rsidP="006C189A">
      <w:pPr>
        <w:jc w:val="both"/>
        <w:rPr>
          <w:lang w:val="en-US"/>
        </w:rPr>
      </w:pPr>
      <w:r>
        <w:rPr>
          <w:lang w:val="en-US"/>
        </w:rPr>
        <w:t xml:space="preserve">PROSECUTOR’S OFFICES </w:t>
      </w:r>
    </w:p>
    <w:p w14:paraId="7A961BBC" w14:textId="42558A81" w:rsidR="007668AE" w:rsidRPr="00C11FF9" w:rsidRDefault="007668AE" w:rsidP="006C189A">
      <w:pPr>
        <w:jc w:val="both"/>
        <w:rPr>
          <w:lang w:val="en-US"/>
        </w:rPr>
      </w:pPr>
      <w:r w:rsidRPr="00C11FF9">
        <w:rPr>
          <w:lang w:val="en-US"/>
        </w:rPr>
        <w:t>As indicated last year, the prosecut</w:t>
      </w:r>
      <w:r w:rsidR="00E92D21">
        <w:rPr>
          <w:lang w:val="en-US"/>
        </w:rPr>
        <w:t>or’s office</w:t>
      </w:r>
      <w:r w:rsidRPr="00C11FF9">
        <w:rPr>
          <w:lang w:val="en-US"/>
        </w:rPr>
        <w:t xml:space="preserve"> website, although it contains a lot of data, is technically inadequate - there is no functional search, </w:t>
      </w:r>
      <w:r w:rsidR="00E92D21">
        <w:rPr>
          <w:lang w:val="en-US"/>
        </w:rPr>
        <w:t xml:space="preserve">it </w:t>
      </w:r>
      <w:r w:rsidRPr="00C11FF9">
        <w:rPr>
          <w:lang w:val="en-US"/>
        </w:rPr>
        <w:t xml:space="preserve">is </w:t>
      </w:r>
      <w:r w:rsidR="00581058">
        <w:rPr>
          <w:lang w:val="en-US"/>
        </w:rPr>
        <w:t>not transparent</w:t>
      </w:r>
      <w:r w:rsidRPr="00C11FF9">
        <w:rPr>
          <w:lang w:val="en-US"/>
        </w:rPr>
        <w:t xml:space="preserve"> for use and </w:t>
      </w:r>
      <w:r w:rsidR="00581058">
        <w:rPr>
          <w:lang w:val="en-US"/>
        </w:rPr>
        <w:t xml:space="preserve">is </w:t>
      </w:r>
      <w:r w:rsidRPr="00C11FF9">
        <w:rPr>
          <w:lang w:val="en-US"/>
        </w:rPr>
        <w:t xml:space="preserve">limited for further </w:t>
      </w:r>
      <w:r w:rsidR="00E92D21">
        <w:rPr>
          <w:lang w:val="en-US"/>
        </w:rPr>
        <w:t>improvement</w:t>
      </w:r>
      <w:r w:rsidRPr="00C11FF9">
        <w:rPr>
          <w:lang w:val="en-US"/>
        </w:rPr>
        <w:t xml:space="preserve"> of content.</w:t>
      </w:r>
      <w:r w:rsidR="00E92D21" w:rsidRPr="00C11FF9">
        <w:rPr>
          <w:rStyle w:val="FootnoteReference"/>
          <w:lang w:val="en-US"/>
        </w:rPr>
        <w:footnoteReference w:id="8"/>
      </w:r>
      <w:r w:rsidRPr="00C11FF9">
        <w:rPr>
          <w:lang w:val="en-US"/>
        </w:rPr>
        <w:t xml:space="preserve"> Therefore, the las</w:t>
      </w:r>
      <w:r w:rsidR="00E92D21">
        <w:rPr>
          <w:lang w:val="en-US"/>
        </w:rPr>
        <w:t xml:space="preserve">t year's recommendation for </w:t>
      </w:r>
      <w:r w:rsidRPr="00C11FF9">
        <w:rPr>
          <w:lang w:val="en-US"/>
        </w:rPr>
        <w:t xml:space="preserve">creation of a new website </w:t>
      </w:r>
      <w:r w:rsidR="00E92D21" w:rsidRPr="00C11FF9">
        <w:rPr>
          <w:lang w:val="en-US"/>
        </w:rPr>
        <w:t>which would be adjust</w:t>
      </w:r>
      <w:r w:rsidR="00E92D21">
        <w:rPr>
          <w:lang w:val="en-US"/>
        </w:rPr>
        <w:t>ed</w:t>
      </w:r>
      <w:r w:rsidR="00E92D21" w:rsidRPr="00C11FF9">
        <w:rPr>
          <w:lang w:val="en-US"/>
        </w:rPr>
        <w:t xml:space="preserve"> to the number of institutions and the amount of information </w:t>
      </w:r>
      <w:r w:rsidR="00E92D21">
        <w:rPr>
          <w:lang w:val="en-US"/>
        </w:rPr>
        <w:t>remains unchanged</w:t>
      </w:r>
      <w:r w:rsidRPr="00C11FF9">
        <w:rPr>
          <w:lang w:val="en-US"/>
        </w:rPr>
        <w:t>.</w:t>
      </w:r>
    </w:p>
    <w:p w14:paraId="7340E957" w14:textId="0C78635F" w:rsidR="007668AE" w:rsidRPr="00C11FF9" w:rsidRDefault="007668AE" w:rsidP="006C189A">
      <w:pPr>
        <w:jc w:val="both"/>
        <w:rPr>
          <w:lang w:val="en-US"/>
        </w:rPr>
      </w:pPr>
      <w:r w:rsidRPr="00C11FF9">
        <w:rPr>
          <w:lang w:val="en-US"/>
        </w:rPr>
        <w:t xml:space="preserve">In addition, publishing the news and </w:t>
      </w:r>
      <w:r w:rsidR="00E92D21">
        <w:rPr>
          <w:lang w:val="en-US"/>
        </w:rPr>
        <w:t>press releases</w:t>
      </w:r>
      <w:r w:rsidRPr="00C11FF9">
        <w:rPr>
          <w:lang w:val="en-US"/>
        </w:rPr>
        <w:t xml:space="preserve"> is still not the practice of the state prosecutors' offices. Such information is only available on the website of the Supreme State Prosecutor's Office.</w:t>
      </w:r>
    </w:p>
    <w:p w14:paraId="62AC73D8" w14:textId="66AF5D4A" w:rsidR="00E92D21" w:rsidRPr="00C11FF9" w:rsidRDefault="00E92D21" w:rsidP="006C189A">
      <w:pPr>
        <w:jc w:val="both"/>
        <w:rPr>
          <w:lang w:val="en-US"/>
        </w:rPr>
      </w:pPr>
      <w:r w:rsidRPr="00C11FF9">
        <w:rPr>
          <w:lang w:val="en-US"/>
        </w:rPr>
        <w:t>Prosecut</w:t>
      </w:r>
      <w:r>
        <w:rPr>
          <w:lang w:val="en-US"/>
        </w:rPr>
        <w:t>or’s offices generally respect</w:t>
      </w:r>
      <w:r w:rsidRPr="00C11FF9">
        <w:rPr>
          <w:lang w:val="en-US"/>
        </w:rPr>
        <w:t xml:space="preserve"> the principle of proactive access to information. They publish lists of prosecutors and their earnings as well as lists of civil servants and employees with their names. However, a large number of prosecutor</w:t>
      </w:r>
      <w:r>
        <w:rPr>
          <w:lang w:val="en-US"/>
        </w:rPr>
        <w:t>’</w:t>
      </w:r>
      <w:r w:rsidRPr="00C11FF9">
        <w:rPr>
          <w:lang w:val="en-US"/>
        </w:rPr>
        <w:t>s</w:t>
      </w:r>
      <w:r>
        <w:rPr>
          <w:lang w:val="en-US"/>
        </w:rPr>
        <w:t xml:space="preserve"> offices</w:t>
      </w:r>
      <w:r w:rsidRPr="00C11FF9">
        <w:rPr>
          <w:lang w:val="en-US"/>
        </w:rPr>
        <w:t xml:space="preserve"> do not publish the contact details of prosecutors and employees. </w:t>
      </w:r>
      <w:r>
        <w:rPr>
          <w:lang w:val="en-US"/>
        </w:rPr>
        <w:t>Furthermore</w:t>
      </w:r>
      <w:r w:rsidRPr="00C11FF9">
        <w:rPr>
          <w:lang w:val="en-US"/>
        </w:rPr>
        <w:t>, prosecutors' biographies are not available.</w:t>
      </w:r>
    </w:p>
    <w:p w14:paraId="0CE501B5" w14:textId="31730222" w:rsidR="00E92D21" w:rsidRPr="00C11FF9" w:rsidRDefault="00E92D21" w:rsidP="006C189A">
      <w:pPr>
        <w:jc w:val="both"/>
        <w:rPr>
          <w:lang w:val="en-US"/>
        </w:rPr>
      </w:pPr>
      <w:r w:rsidRPr="00E92D21">
        <w:rPr>
          <w:lang w:val="en-US"/>
        </w:rPr>
        <w:t xml:space="preserve">Prosecutor’s offices </w:t>
      </w:r>
      <w:r w:rsidRPr="00C11FF9">
        <w:rPr>
          <w:lang w:val="en-US"/>
        </w:rPr>
        <w:t xml:space="preserve">publish only current programs and work plans, and a large number </w:t>
      </w:r>
      <w:r w:rsidR="00581058">
        <w:rPr>
          <w:lang w:val="en-US"/>
        </w:rPr>
        <w:t>of them publish only</w:t>
      </w:r>
      <w:r w:rsidRPr="00C11FF9">
        <w:rPr>
          <w:lang w:val="en-US"/>
        </w:rPr>
        <w:t xml:space="preserve"> the latest work reports. On the other hand, on the website of the Supreme State Prosecutor's Office, work reports for the previous years are </w:t>
      </w:r>
      <w:r w:rsidR="00783283">
        <w:rPr>
          <w:lang w:val="en-US"/>
        </w:rPr>
        <w:t xml:space="preserve">also </w:t>
      </w:r>
      <w:r w:rsidRPr="00C11FF9">
        <w:rPr>
          <w:lang w:val="en-US"/>
        </w:rPr>
        <w:t>available.</w:t>
      </w:r>
    </w:p>
    <w:p w14:paraId="27CDFA49" w14:textId="758160E0" w:rsidR="007668AE" w:rsidRPr="00C11FF9" w:rsidRDefault="00F608C9" w:rsidP="006C189A">
      <w:pPr>
        <w:jc w:val="both"/>
        <w:rPr>
          <w:lang w:val="en-US"/>
        </w:rPr>
      </w:pPr>
      <w:r>
        <w:rPr>
          <w:lang w:val="en-US"/>
        </w:rPr>
        <w:t>R</w:t>
      </w:r>
      <w:r w:rsidR="007668AE" w:rsidRPr="00C11FF9">
        <w:rPr>
          <w:lang w:val="en-US"/>
        </w:rPr>
        <w:t xml:space="preserve">eports </w:t>
      </w:r>
      <w:r>
        <w:rPr>
          <w:lang w:val="en-US"/>
        </w:rPr>
        <w:t xml:space="preserve">of prosecutor’s offices </w:t>
      </w:r>
      <w:r w:rsidR="007668AE" w:rsidRPr="00C11FF9">
        <w:rPr>
          <w:lang w:val="en-US"/>
        </w:rPr>
        <w:t xml:space="preserve">contain a full </w:t>
      </w:r>
      <w:r>
        <w:rPr>
          <w:lang w:val="en-US"/>
        </w:rPr>
        <w:t>over</w:t>
      </w:r>
      <w:r w:rsidR="007668AE" w:rsidRPr="00C11FF9">
        <w:rPr>
          <w:lang w:val="en-US"/>
        </w:rPr>
        <w:t>view of the work but do not contain information about violations of the Code of Ethics or disciplinary procedures and measures.</w:t>
      </w:r>
    </w:p>
    <w:p w14:paraId="01CF0543" w14:textId="649CA679" w:rsidR="007668AE" w:rsidRPr="000B1D27" w:rsidRDefault="00F608C9" w:rsidP="006C189A">
      <w:pPr>
        <w:jc w:val="both"/>
        <w:rPr>
          <w:lang w:val="en-US"/>
        </w:rPr>
      </w:pPr>
      <w:r>
        <w:rPr>
          <w:lang w:val="en-US"/>
        </w:rPr>
        <w:t>The G</w:t>
      </w:r>
      <w:r w:rsidR="007668AE" w:rsidRPr="00C11FF9">
        <w:rPr>
          <w:lang w:val="en-US"/>
        </w:rPr>
        <w:t>uide</w:t>
      </w:r>
      <w:r>
        <w:rPr>
          <w:lang w:val="en-US"/>
        </w:rPr>
        <w:t>line</w:t>
      </w:r>
      <w:r w:rsidR="007668AE" w:rsidRPr="00C11FF9">
        <w:rPr>
          <w:lang w:val="en-US"/>
        </w:rPr>
        <w:t xml:space="preserve">s for free access to information and contact persons are available on the </w:t>
      </w:r>
      <w:r w:rsidR="000B1D27">
        <w:rPr>
          <w:lang w:val="en-US"/>
        </w:rPr>
        <w:t>websi</w:t>
      </w:r>
      <w:r>
        <w:rPr>
          <w:lang w:val="en-US"/>
        </w:rPr>
        <w:t xml:space="preserve">tes of </w:t>
      </w:r>
      <w:r w:rsidR="007668AE" w:rsidRPr="00C11FF9">
        <w:rPr>
          <w:lang w:val="en-US"/>
        </w:rPr>
        <w:t>prosecut</w:t>
      </w:r>
      <w:r>
        <w:rPr>
          <w:lang w:val="en-US"/>
        </w:rPr>
        <w:t>or’s offices.</w:t>
      </w:r>
      <w:r w:rsidR="007668AE" w:rsidRPr="00C11FF9">
        <w:rPr>
          <w:lang w:val="en-US"/>
        </w:rPr>
        <w:t xml:space="preserve"> </w:t>
      </w:r>
      <w:r>
        <w:rPr>
          <w:lang w:val="en-US"/>
        </w:rPr>
        <w:t>P</w:t>
      </w:r>
      <w:r w:rsidRPr="00F608C9">
        <w:rPr>
          <w:lang w:val="en-US"/>
        </w:rPr>
        <w:t>rosecutor’s offices</w:t>
      </w:r>
      <w:r w:rsidR="007668AE" w:rsidRPr="00C11FF9">
        <w:rPr>
          <w:lang w:val="en-US"/>
        </w:rPr>
        <w:t xml:space="preserve"> generally publish </w:t>
      </w:r>
      <w:r>
        <w:rPr>
          <w:lang w:val="en-US"/>
        </w:rPr>
        <w:t>decisions</w:t>
      </w:r>
      <w:r w:rsidR="007668AE" w:rsidRPr="00C11FF9">
        <w:rPr>
          <w:lang w:val="en-US"/>
        </w:rPr>
        <w:t xml:space="preserve">, but not the </w:t>
      </w:r>
      <w:r>
        <w:rPr>
          <w:lang w:val="en-US"/>
        </w:rPr>
        <w:t>very</w:t>
      </w:r>
      <w:r w:rsidR="007668AE" w:rsidRPr="00C11FF9">
        <w:rPr>
          <w:lang w:val="en-US"/>
        </w:rPr>
        <w:t xml:space="preserve"> information that </w:t>
      </w:r>
      <w:r w:rsidR="003C3F70">
        <w:rPr>
          <w:lang w:val="en-US"/>
        </w:rPr>
        <w:t>has been</w:t>
      </w:r>
      <w:r w:rsidR="007668AE" w:rsidRPr="00C11FF9">
        <w:rPr>
          <w:lang w:val="en-US"/>
        </w:rPr>
        <w:t xml:space="preserve"> granted access </w:t>
      </w:r>
      <w:r w:rsidR="007668AE" w:rsidRPr="000B1D27">
        <w:rPr>
          <w:lang w:val="en-US"/>
        </w:rPr>
        <w:t>upon request.</w:t>
      </w:r>
    </w:p>
    <w:p w14:paraId="52D79DEB" w14:textId="149591E1" w:rsidR="001B3F78" w:rsidRPr="00C11FF9" w:rsidRDefault="003C3F70" w:rsidP="006C189A">
      <w:pPr>
        <w:jc w:val="both"/>
        <w:rPr>
          <w:lang w:val="en-US"/>
        </w:rPr>
      </w:pPr>
      <w:r w:rsidRPr="000B1D27">
        <w:rPr>
          <w:lang w:val="en-US"/>
        </w:rPr>
        <w:t>JUDICIAL AND PROSECUTORIAL COUNCIL</w:t>
      </w:r>
    </w:p>
    <w:p w14:paraId="751F6464" w14:textId="5126C9AF" w:rsidR="007668AE" w:rsidRPr="00C11FF9" w:rsidRDefault="007668AE" w:rsidP="006C189A">
      <w:pPr>
        <w:jc w:val="both"/>
        <w:rPr>
          <w:lang w:val="en-US"/>
        </w:rPr>
      </w:pPr>
      <w:r w:rsidRPr="00C11FF9">
        <w:rPr>
          <w:lang w:val="en-US"/>
        </w:rPr>
        <w:lastRenderedPageBreak/>
        <w:t xml:space="preserve">When it comes to </w:t>
      </w:r>
      <w:r w:rsidR="00581058">
        <w:rPr>
          <w:lang w:val="en-US"/>
        </w:rPr>
        <w:t>t</w:t>
      </w:r>
      <w:r w:rsidRPr="00C11FF9">
        <w:rPr>
          <w:lang w:val="en-US"/>
        </w:rPr>
        <w:t xml:space="preserve">ransparency of the Judicial and Prosecutorial Council, key recommendations for </w:t>
      </w:r>
      <w:r w:rsidR="003C3F70">
        <w:rPr>
          <w:lang w:val="en-US"/>
        </w:rPr>
        <w:t xml:space="preserve">improvement of </w:t>
      </w:r>
      <w:r w:rsidR="003C3F70" w:rsidRPr="000B1D27">
        <w:rPr>
          <w:lang w:val="en-US"/>
        </w:rPr>
        <w:t>the situation in</w:t>
      </w:r>
      <w:r w:rsidRPr="000B1D27">
        <w:rPr>
          <w:lang w:val="en-US"/>
        </w:rPr>
        <w:t xml:space="preserve"> the previous measurement</w:t>
      </w:r>
      <w:r w:rsidRPr="00C11FF9">
        <w:rPr>
          <w:lang w:val="en-US"/>
        </w:rPr>
        <w:t xml:space="preserve"> remain unchanged.</w:t>
      </w:r>
      <w:r w:rsidR="003C3F70" w:rsidRPr="00C11FF9">
        <w:rPr>
          <w:rStyle w:val="FootnoteReference"/>
          <w:lang w:val="en-US"/>
        </w:rPr>
        <w:footnoteReference w:id="9"/>
      </w:r>
    </w:p>
    <w:p w14:paraId="505B53FA" w14:textId="05E1BFD4" w:rsidR="007668AE" w:rsidRPr="00C11FF9" w:rsidRDefault="007668AE" w:rsidP="006C189A">
      <w:pPr>
        <w:jc w:val="both"/>
        <w:rPr>
          <w:lang w:val="en-US"/>
        </w:rPr>
      </w:pPr>
      <w:r w:rsidRPr="00C11FF9">
        <w:rPr>
          <w:lang w:val="en-US"/>
        </w:rPr>
        <w:t>The Judicial and</w:t>
      </w:r>
      <w:r w:rsidR="003C3F70">
        <w:rPr>
          <w:lang w:val="en-US"/>
        </w:rPr>
        <w:t xml:space="preserve"> Prosecutorial Council should strategically plan</w:t>
      </w:r>
      <w:r w:rsidRPr="00C11FF9">
        <w:rPr>
          <w:lang w:val="en-US"/>
        </w:rPr>
        <w:t xml:space="preserve"> annual activities within a specific work plan and program.</w:t>
      </w:r>
    </w:p>
    <w:p w14:paraId="5AB17D34" w14:textId="14B1E1BD" w:rsidR="007668AE" w:rsidRPr="00C11FF9" w:rsidRDefault="003C3F70" w:rsidP="006C189A">
      <w:pPr>
        <w:jc w:val="both"/>
        <w:rPr>
          <w:lang w:val="en-US"/>
        </w:rPr>
      </w:pPr>
      <w:r>
        <w:rPr>
          <w:lang w:val="en-US"/>
        </w:rPr>
        <w:t>The councils publish</w:t>
      </w:r>
      <w:r w:rsidR="007668AE" w:rsidRPr="00C11FF9">
        <w:rPr>
          <w:lang w:val="en-US"/>
        </w:rPr>
        <w:t xml:space="preserve"> annual work reports</w:t>
      </w:r>
      <w:r w:rsidRPr="00C11FF9">
        <w:rPr>
          <w:rStyle w:val="FootnoteReference"/>
          <w:lang w:val="en-US"/>
        </w:rPr>
        <w:footnoteReference w:id="10"/>
      </w:r>
      <w:r w:rsidRPr="00C11FF9">
        <w:rPr>
          <w:lang w:val="en-US"/>
        </w:rPr>
        <w:t>,</w:t>
      </w:r>
      <w:r>
        <w:rPr>
          <w:lang w:val="en-US"/>
        </w:rPr>
        <w:t xml:space="preserve"> and on the</w:t>
      </w:r>
      <w:r w:rsidRPr="00C11FF9">
        <w:rPr>
          <w:lang w:val="en-US"/>
        </w:rPr>
        <w:t xml:space="preserve"> Judicial Coun</w:t>
      </w:r>
      <w:r>
        <w:rPr>
          <w:lang w:val="en-US"/>
        </w:rPr>
        <w:t>cil</w:t>
      </w:r>
      <w:r w:rsidRPr="00C11FF9">
        <w:rPr>
          <w:lang w:val="en-US"/>
        </w:rPr>
        <w:t xml:space="preserve"> website </w:t>
      </w:r>
      <w:r>
        <w:rPr>
          <w:lang w:val="en-US"/>
        </w:rPr>
        <w:t xml:space="preserve">there is </w:t>
      </w:r>
      <w:r w:rsidR="007668AE" w:rsidRPr="00C11FF9">
        <w:rPr>
          <w:lang w:val="en-US"/>
        </w:rPr>
        <w:t>half-year</w:t>
      </w:r>
      <w:r>
        <w:rPr>
          <w:lang w:val="en-US"/>
        </w:rPr>
        <w:t xml:space="preserve"> report which </w:t>
      </w:r>
      <w:r w:rsidR="007668AE" w:rsidRPr="00C11FF9">
        <w:rPr>
          <w:lang w:val="en-US"/>
        </w:rPr>
        <w:t>provides an overview of court proceedings in the first half of 2017.</w:t>
      </w:r>
    </w:p>
    <w:p w14:paraId="741EAC5E" w14:textId="58091259" w:rsidR="007668AE" w:rsidRPr="00C11FF9" w:rsidRDefault="003C3F70" w:rsidP="006C189A">
      <w:pPr>
        <w:jc w:val="both"/>
        <w:rPr>
          <w:lang w:val="en-US"/>
        </w:rPr>
      </w:pPr>
      <w:r>
        <w:rPr>
          <w:lang w:val="en-US"/>
        </w:rPr>
        <w:t>These councils</w:t>
      </w:r>
      <w:r w:rsidR="007668AE" w:rsidRPr="00C11FF9">
        <w:rPr>
          <w:lang w:val="en-US"/>
        </w:rPr>
        <w:t xml:space="preserve"> should improve </w:t>
      </w:r>
      <w:r>
        <w:rPr>
          <w:lang w:val="en-US"/>
        </w:rPr>
        <w:t xml:space="preserve">their </w:t>
      </w:r>
      <w:r w:rsidR="007668AE" w:rsidRPr="00C11FF9">
        <w:rPr>
          <w:lang w:val="en-US"/>
        </w:rPr>
        <w:t>financial transparency.</w:t>
      </w:r>
    </w:p>
    <w:p w14:paraId="3432849C" w14:textId="56781437" w:rsidR="007668AE" w:rsidRPr="00C11FF9" w:rsidRDefault="007668AE" w:rsidP="006C189A">
      <w:pPr>
        <w:jc w:val="both"/>
        <w:rPr>
          <w:lang w:val="en-US"/>
        </w:rPr>
      </w:pPr>
      <w:r w:rsidRPr="00C11FF9">
        <w:rPr>
          <w:lang w:val="en-US"/>
        </w:rPr>
        <w:t xml:space="preserve">No public procurement information - plans, calls, decisions and public procurement procedures are available on the Judicial Council website. When it comes to the budget, </w:t>
      </w:r>
      <w:r w:rsidR="00581058">
        <w:rPr>
          <w:lang w:val="en-US"/>
        </w:rPr>
        <w:t>it is</w:t>
      </w:r>
      <w:r w:rsidRPr="00C11FF9">
        <w:rPr>
          <w:lang w:val="en-US"/>
        </w:rPr>
        <w:t xml:space="preserve"> published </w:t>
      </w:r>
      <w:r w:rsidR="00581058">
        <w:rPr>
          <w:lang w:val="en-US"/>
        </w:rPr>
        <w:t xml:space="preserve">only </w:t>
      </w:r>
      <w:r w:rsidRPr="00C11FF9">
        <w:rPr>
          <w:lang w:val="en-US"/>
        </w:rPr>
        <w:t>as an integral part of the annual work report.</w:t>
      </w:r>
    </w:p>
    <w:p w14:paraId="11161B42" w14:textId="4526BC73" w:rsidR="007668AE" w:rsidRPr="00C11FF9" w:rsidRDefault="003C3F70" w:rsidP="006C189A">
      <w:pPr>
        <w:jc w:val="both"/>
        <w:rPr>
          <w:lang w:val="en-US"/>
        </w:rPr>
      </w:pPr>
      <w:r>
        <w:rPr>
          <w:lang w:val="en-US"/>
        </w:rPr>
        <w:t>The Prosecutorial Council</w:t>
      </w:r>
      <w:r w:rsidR="007668AE" w:rsidRPr="00C11FF9">
        <w:rPr>
          <w:lang w:val="en-US"/>
        </w:rPr>
        <w:t xml:space="preserve"> </w:t>
      </w:r>
      <w:r>
        <w:rPr>
          <w:lang w:val="en-US"/>
        </w:rPr>
        <w:t>published</w:t>
      </w:r>
      <w:r w:rsidR="007668AE" w:rsidRPr="00C11FF9">
        <w:rPr>
          <w:lang w:val="en-US"/>
        </w:rPr>
        <w:t xml:space="preserve"> public procurement plans and contracts, but not calls and </w:t>
      </w:r>
      <w:r>
        <w:rPr>
          <w:lang w:val="en-US"/>
        </w:rPr>
        <w:t xml:space="preserve">decisions on public procurement </w:t>
      </w:r>
      <w:r w:rsidR="007668AE" w:rsidRPr="00C11FF9">
        <w:rPr>
          <w:lang w:val="en-US"/>
        </w:rPr>
        <w:t>procedures. Budgets and final accounts are not available on the website</w:t>
      </w:r>
      <w:r w:rsidRPr="003C3F70">
        <w:rPr>
          <w:lang w:val="en-US"/>
        </w:rPr>
        <w:t xml:space="preserve"> </w:t>
      </w:r>
      <w:r>
        <w:rPr>
          <w:lang w:val="en-US"/>
        </w:rPr>
        <w:t>of t</w:t>
      </w:r>
      <w:r w:rsidRPr="003C3F70">
        <w:rPr>
          <w:lang w:val="en-US"/>
        </w:rPr>
        <w:t>he Prosecutorial Council</w:t>
      </w:r>
      <w:r w:rsidR="007668AE" w:rsidRPr="00C11FF9">
        <w:rPr>
          <w:lang w:val="en-US"/>
        </w:rPr>
        <w:t>.</w:t>
      </w:r>
    </w:p>
    <w:p w14:paraId="232D932E" w14:textId="70134F59" w:rsidR="007668AE" w:rsidRPr="00C11FF9" w:rsidRDefault="00581058" w:rsidP="006C189A">
      <w:pPr>
        <w:jc w:val="both"/>
        <w:rPr>
          <w:lang w:val="en-US"/>
        </w:rPr>
      </w:pPr>
      <w:r>
        <w:rPr>
          <w:lang w:val="en-US"/>
        </w:rPr>
        <w:t>The Judicial Council published</w:t>
      </w:r>
      <w:r w:rsidR="007668AE" w:rsidRPr="00C11FF9">
        <w:rPr>
          <w:lang w:val="en-US"/>
        </w:rPr>
        <w:t xml:space="preserve"> an updated </w:t>
      </w:r>
      <w:r w:rsidR="003C3F70">
        <w:rPr>
          <w:lang w:val="en-US"/>
        </w:rPr>
        <w:t xml:space="preserve">Guideline for </w:t>
      </w:r>
      <w:r w:rsidR="007668AE" w:rsidRPr="00C11FF9">
        <w:rPr>
          <w:lang w:val="en-US"/>
        </w:rPr>
        <w:t>Free Access</w:t>
      </w:r>
      <w:r w:rsidR="003C3F70">
        <w:rPr>
          <w:lang w:val="en-US"/>
        </w:rPr>
        <w:t xml:space="preserve"> to</w:t>
      </w:r>
      <w:r w:rsidR="007668AE" w:rsidRPr="00C11FF9">
        <w:rPr>
          <w:lang w:val="en-US"/>
        </w:rPr>
        <w:t xml:space="preserve"> Information, contact person responsible for acting</w:t>
      </w:r>
      <w:r w:rsidR="003C3F70">
        <w:rPr>
          <w:lang w:val="en-US"/>
        </w:rPr>
        <w:t xml:space="preserve"> upon</w:t>
      </w:r>
      <w:r w:rsidR="007668AE" w:rsidRPr="00C11FF9">
        <w:rPr>
          <w:lang w:val="en-US"/>
        </w:rPr>
        <w:t xml:space="preserve"> request</w:t>
      </w:r>
      <w:r w:rsidR="003C3F70">
        <w:rPr>
          <w:lang w:val="en-US"/>
        </w:rPr>
        <w:t>s</w:t>
      </w:r>
      <w:r w:rsidR="007668AE" w:rsidRPr="00C11FF9">
        <w:rPr>
          <w:lang w:val="en-US"/>
        </w:rPr>
        <w:t>,</w:t>
      </w:r>
      <w:r w:rsidR="003C3F70">
        <w:rPr>
          <w:lang w:val="en-US"/>
        </w:rPr>
        <w:t xml:space="preserve"> but not a database with </w:t>
      </w:r>
      <w:r w:rsidR="007668AE" w:rsidRPr="00C11FF9">
        <w:rPr>
          <w:lang w:val="en-US"/>
        </w:rPr>
        <w:t>information</w:t>
      </w:r>
      <w:r w:rsidR="003C3F70">
        <w:rPr>
          <w:lang w:val="en-US"/>
        </w:rPr>
        <w:t xml:space="preserve"> that has been granted access</w:t>
      </w:r>
      <w:r w:rsidR="007668AE" w:rsidRPr="00C11FF9">
        <w:rPr>
          <w:lang w:val="en-US"/>
        </w:rPr>
        <w:t>. This information is available on the Prosecutor's Office website.</w:t>
      </w:r>
    </w:p>
    <w:p w14:paraId="09B364B9" w14:textId="77777777" w:rsidR="00C554A8" w:rsidRPr="00C11FF9" w:rsidRDefault="00C554A8" w:rsidP="006C189A">
      <w:pPr>
        <w:jc w:val="both"/>
        <w:rPr>
          <w:b/>
          <w:lang w:val="en-US"/>
        </w:rPr>
      </w:pPr>
      <w:r w:rsidRPr="00C11FF9">
        <w:rPr>
          <w:b/>
          <w:lang w:val="en-US"/>
        </w:rPr>
        <w:t>Research methodology</w:t>
      </w:r>
    </w:p>
    <w:p w14:paraId="422BCCAC" w14:textId="77777777" w:rsidR="00C554A8" w:rsidRPr="00C11FF9" w:rsidRDefault="00C554A8" w:rsidP="006C189A">
      <w:pPr>
        <w:jc w:val="both"/>
        <w:rPr>
          <w:lang w:val="en-US"/>
        </w:rPr>
      </w:pPr>
      <w:r w:rsidRPr="00C11FF9">
        <w:rPr>
          <w:lang w:val="en-US"/>
        </w:rPr>
        <w:t>Openness is a key requirement for democracy as it enables citizens to obtain the information and knowledge necessary for equal participation in political life, effective decision-making and holding of institutions responsible for the policies they are implementing.</w:t>
      </w:r>
    </w:p>
    <w:p w14:paraId="2557B68E" w14:textId="51388C68" w:rsidR="00C554A8" w:rsidRPr="00C11FF9" w:rsidRDefault="00C554A8" w:rsidP="006C189A">
      <w:pPr>
        <w:jc w:val="both"/>
        <w:rPr>
          <w:lang w:val="en-US"/>
        </w:rPr>
      </w:pPr>
      <w:r w:rsidRPr="00C11FF9">
        <w:rPr>
          <w:lang w:val="en-US"/>
        </w:rPr>
        <w:t>Institutions around the world undertake specific actions towards increasing their own transparency and accountability to citizens. The Regional Index of Openness of the judiciary is developed in order to establish to what extent citizens of the Western Balkans receive timely and understandable information from their institutions.</w:t>
      </w:r>
    </w:p>
    <w:p w14:paraId="310337C9" w14:textId="77777777" w:rsidR="00C554A8" w:rsidRPr="00C11FF9" w:rsidRDefault="00C554A8" w:rsidP="006C189A">
      <w:pPr>
        <w:jc w:val="both"/>
        <w:rPr>
          <w:lang w:val="en-US"/>
        </w:rPr>
      </w:pPr>
      <w:r w:rsidRPr="00C11FF9">
        <w:rPr>
          <w:lang w:val="en-US"/>
        </w:rPr>
        <w:t>The Regional Openness Index measures the degree to which the institutions of the Western Balkans are open to citizens and society, based on the following four principles: (1) transparency, (2) accessibility, (3) integrity and (4) effectiveness.</w:t>
      </w:r>
    </w:p>
    <w:p w14:paraId="637FD775" w14:textId="77777777" w:rsidR="00C554A8" w:rsidRPr="00C11FF9" w:rsidRDefault="00C554A8" w:rsidP="006C189A">
      <w:pPr>
        <w:jc w:val="both"/>
        <w:rPr>
          <w:bCs/>
          <w:lang w:val="en-US"/>
        </w:rPr>
      </w:pPr>
      <w:r w:rsidRPr="00C11FF9">
        <w:rPr>
          <w:bCs/>
          <w:lang w:val="en-US"/>
        </w:rPr>
        <w:t>The principle of transparency implies that organizational information, budget and public procurement procedures are publicly available and published. Accessibility refers to providing and respecting the procedures for a free access to information, and improving the availability of information through the mechanism of public discussions and strengthening of interaction with citizens. Integrity includes mechanisms for the prevention of corruption, conducting codes of ethics and regulation of lobbying. The last principle, effectiveness, concerns the monitoring and evaluation of policies being implemented.</w:t>
      </w:r>
    </w:p>
    <w:p w14:paraId="48D9F9DD" w14:textId="278180B2" w:rsidR="003B4700" w:rsidRPr="00C11FF9" w:rsidRDefault="003B4700" w:rsidP="006C189A">
      <w:pPr>
        <w:jc w:val="both"/>
        <w:rPr>
          <w:lang w:val="en-US"/>
        </w:rPr>
      </w:pPr>
      <w:r w:rsidRPr="00C11FF9">
        <w:rPr>
          <w:lang w:val="en-US"/>
        </w:rPr>
        <w:t>Following the international standards, recommendations</w:t>
      </w:r>
      <w:r w:rsidRPr="00C11FF9">
        <w:rPr>
          <w:b/>
          <w:bCs/>
          <w:lang w:val="en-US"/>
        </w:rPr>
        <w:t xml:space="preserve"> </w:t>
      </w:r>
      <w:r w:rsidRPr="00C11FF9">
        <w:rPr>
          <w:lang w:val="en-US"/>
        </w:rPr>
        <w:t xml:space="preserve">and examples of good practice, these principles are further elaborated through specific quantitative and qualitative indicators, which are estimated on the basis of availability of information on official websites, the quality of legal </w:t>
      </w:r>
      <w:r w:rsidRPr="00C11FF9">
        <w:rPr>
          <w:lang w:val="en-US"/>
        </w:rPr>
        <w:lastRenderedPageBreak/>
        <w:t>framework for individual issues, other sources of public informing and questionnaires delivered to institutions.</w:t>
      </w:r>
    </w:p>
    <w:p w14:paraId="6D535DB0" w14:textId="77777777" w:rsidR="003B4700" w:rsidRPr="00C11FF9" w:rsidRDefault="003B4700" w:rsidP="006C189A">
      <w:pPr>
        <w:jc w:val="both"/>
        <w:rPr>
          <w:lang w:val="en-US"/>
        </w:rPr>
      </w:pPr>
      <w:r w:rsidRPr="00C11FF9">
        <w:rPr>
          <w:lang w:val="en-US"/>
        </w:rPr>
        <w:t xml:space="preserve">In accordance with the Index Development Plan, after the measurements and analyzes and recommendations given to the institutions, each year we introduce new indicators i.e. standards of transparency. In this way we effectively measure how institutions meet our recommendations and how much they deal with the openness policy. This year's index is, thus, richer for several new indicators. </w:t>
      </w:r>
    </w:p>
    <w:p w14:paraId="5B529EA1" w14:textId="19FE0009" w:rsidR="00C554A8" w:rsidRPr="00C11FF9" w:rsidRDefault="003B4700" w:rsidP="006C189A">
      <w:pPr>
        <w:jc w:val="both"/>
        <w:rPr>
          <w:lang w:val="en-US"/>
        </w:rPr>
      </w:pPr>
      <w:r w:rsidRPr="00C11FF9">
        <w:rPr>
          <w:lang w:val="en-US"/>
        </w:rPr>
        <w:t>The measurement was conducted in the period from December 2017 until the end of March 2018.</w:t>
      </w:r>
    </w:p>
    <w:p w14:paraId="57D59E72" w14:textId="77777777" w:rsidR="003B4700" w:rsidRPr="00C11FF9" w:rsidRDefault="003B4700" w:rsidP="006C189A">
      <w:pPr>
        <w:jc w:val="both"/>
        <w:rPr>
          <w:rFonts w:ascii="Calibri" w:eastAsia="Calibri" w:hAnsi="Calibri" w:cs="Calibri"/>
          <w:bCs/>
          <w:lang w:val="en-US"/>
        </w:rPr>
      </w:pPr>
      <w:r w:rsidRPr="00C11FF9">
        <w:rPr>
          <w:rFonts w:ascii="Calibri" w:eastAsia="Calibri" w:hAnsi="Calibri" w:cs="Calibri"/>
          <w:bCs/>
          <w:lang w:val="en-US"/>
        </w:rPr>
        <w:t xml:space="preserve">The standard error of the total openness index is +/- 3%. </w:t>
      </w:r>
    </w:p>
    <w:p w14:paraId="39A0276C" w14:textId="392C71F4" w:rsidR="4B1FC783" w:rsidRPr="00C11FF9" w:rsidRDefault="003B4700" w:rsidP="006C189A">
      <w:pPr>
        <w:jc w:val="both"/>
        <w:rPr>
          <w:rFonts w:ascii="Calibri" w:eastAsia="Calibri" w:hAnsi="Calibri" w:cs="Calibri"/>
          <w:bCs/>
          <w:lang w:val="en-US"/>
        </w:rPr>
      </w:pPr>
      <w:r w:rsidRPr="00C11FF9">
        <w:rPr>
          <w:rFonts w:ascii="Calibri" w:eastAsia="Calibri" w:hAnsi="Calibri" w:cs="Calibri"/>
          <w:bCs/>
          <w:lang w:val="en-US"/>
        </w:rPr>
        <w:t>Based on the research results, this set of recommendations and guidelines, addressed to institutions, was developed.</w:t>
      </w:r>
    </w:p>
    <w:p w14:paraId="0F070404" w14:textId="77777777" w:rsidR="00FD01E2" w:rsidRDefault="00FD01E2" w:rsidP="006C189A">
      <w:pPr>
        <w:jc w:val="both"/>
        <w:rPr>
          <w:rFonts w:ascii="Calibri" w:eastAsia="Calibri" w:hAnsi="Calibri" w:cs="Calibri"/>
          <w:lang w:val="en-US"/>
        </w:rPr>
      </w:pPr>
    </w:p>
    <w:p w14:paraId="1B31D84F" w14:textId="77777777" w:rsidR="00FD01E2" w:rsidRDefault="00FD01E2" w:rsidP="006C189A">
      <w:pPr>
        <w:jc w:val="both"/>
        <w:rPr>
          <w:rFonts w:ascii="Calibri" w:eastAsia="Calibri" w:hAnsi="Calibri" w:cs="Calibri"/>
          <w:lang w:val="en-US"/>
        </w:rPr>
      </w:pPr>
    </w:p>
    <w:p w14:paraId="624413C8" w14:textId="77777777" w:rsidR="00FD01E2" w:rsidRDefault="00FD01E2" w:rsidP="006C189A">
      <w:pPr>
        <w:jc w:val="both"/>
        <w:rPr>
          <w:rFonts w:ascii="Calibri" w:eastAsia="Calibri" w:hAnsi="Calibri" w:cs="Calibri"/>
          <w:lang w:val="en-US"/>
        </w:rPr>
      </w:pPr>
    </w:p>
    <w:p w14:paraId="68B7CBA0" w14:textId="77777777" w:rsidR="00FD01E2" w:rsidRDefault="00FD01E2" w:rsidP="006C189A">
      <w:pPr>
        <w:jc w:val="both"/>
        <w:rPr>
          <w:rFonts w:ascii="Calibri" w:eastAsia="Calibri" w:hAnsi="Calibri" w:cs="Calibri"/>
          <w:lang w:val="en-US"/>
        </w:rPr>
      </w:pPr>
    </w:p>
    <w:p w14:paraId="6E0BAF82" w14:textId="77777777" w:rsidR="00FD01E2" w:rsidRDefault="00FD01E2" w:rsidP="006C189A">
      <w:pPr>
        <w:jc w:val="both"/>
        <w:rPr>
          <w:rFonts w:ascii="Calibri" w:eastAsia="Calibri" w:hAnsi="Calibri" w:cs="Calibri"/>
          <w:lang w:val="en-US"/>
        </w:rPr>
      </w:pPr>
    </w:p>
    <w:p w14:paraId="51590E21" w14:textId="77777777" w:rsidR="00FD01E2" w:rsidRDefault="00FD01E2" w:rsidP="006C189A">
      <w:pPr>
        <w:jc w:val="both"/>
        <w:rPr>
          <w:rFonts w:ascii="Calibri" w:eastAsia="Calibri" w:hAnsi="Calibri" w:cs="Calibri"/>
          <w:lang w:val="en-US"/>
        </w:rPr>
      </w:pPr>
    </w:p>
    <w:p w14:paraId="607FE439" w14:textId="77777777" w:rsidR="00FD01E2" w:rsidRDefault="00FD01E2" w:rsidP="006C189A">
      <w:pPr>
        <w:jc w:val="both"/>
        <w:rPr>
          <w:rFonts w:ascii="Calibri" w:eastAsia="Calibri" w:hAnsi="Calibri" w:cs="Calibri"/>
          <w:lang w:val="en-US"/>
        </w:rPr>
      </w:pPr>
      <w:bookmarkStart w:id="0" w:name="_GoBack"/>
      <w:bookmarkEnd w:id="0"/>
    </w:p>
    <w:p w14:paraId="25634F8D" w14:textId="77777777" w:rsidR="00FD01E2" w:rsidRDefault="00FD01E2" w:rsidP="006C189A">
      <w:pPr>
        <w:jc w:val="both"/>
        <w:rPr>
          <w:rFonts w:ascii="Calibri" w:eastAsia="Calibri" w:hAnsi="Calibri" w:cs="Calibri"/>
          <w:lang w:val="en-US"/>
        </w:rPr>
      </w:pPr>
    </w:p>
    <w:p w14:paraId="6DEF9CD3" w14:textId="77777777" w:rsidR="00FD01E2" w:rsidRDefault="00FD01E2" w:rsidP="006C189A">
      <w:pPr>
        <w:jc w:val="both"/>
        <w:rPr>
          <w:rFonts w:ascii="Calibri" w:eastAsia="Calibri" w:hAnsi="Calibri" w:cs="Calibri"/>
          <w:lang w:val="en-US"/>
        </w:rPr>
      </w:pPr>
    </w:p>
    <w:p w14:paraId="1C604B3B" w14:textId="77777777" w:rsidR="00FD01E2" w:rsidRDefault="00FD01E2" w:rsidP="006C189A">
      <w:pPr>
        <w:jc w:val="both"/>
        <w:rPr>
          <w:rFonts w:ascii="Calibri" w:eastAsia="Calibri" w:hAnsi="Calibri" w:cs="Calibri"/>
          <w:lang w:val="en-US"/>
        </w:rPr>
      </w:pPr>
    </w:p>
    <w:p w14:paraId="3532E496" w14:textId="77777777" w:rsidR="00FD01E2" w:rsidRDefault="00FD01E2" w:rsidP="006C189A">
      <w:pPr>
        <w:jc w:val="both"/>
        <w:rPr>
          <w:rFonts w:ascii="Calibri" w:eastAsia="Calibri" w:hAnsi="Calibri" w:cs="Calibri"/>
          <w:lang w:val="en-US"/>
        </w:rPr>
      </w:pPr>
    </w:p>
    <w:p w14:paraId="7C781346" w14:textId="77777777" w:rsidR="00FD01E2" w:rsidRDefault="00FD01E2" w:rsidP="006C189A">
      <w:pPr>
        <w:jc w:val="both"/>
        <w:rPr>
          <w:rFonts w:ascii="Calibri" w:eastAsia="Calibri" w:hAnsi="Calibri" w:cs="Calibri"/>
          <w:lang w:val="en-US"/>
        </w:rPr>
      </w:pPr>
    </w:p>
    <w:p w14:paraId="25885AE5" w14:textId="77777777" w:rsidR="00FD01E2" w:rsidRDefault="00FD01E2" w:rsidP="006C189A">
      <w:pPr>
        <w:jc w:val="both"/>
        <w:rPr>
          <w:rFonts w:ascii="Calibri" w:eastAsia="Calibri" w:hAnsi="Calibri" w:cs="Calibri"/>
          <w:lang w:val="en-US"/>
        </w:rPr>
      </w:pPr>
    </w:p>
    <w:p w14:paraId="7B13BD68" w14:textId="77777777" w:rsidR="00FD01E2" w:rsidRDefault="00FD01E2" w:rsidP="006C189A">
      <w:pPr>
        <w:jc w:val="both"/>
        <w:rPr>
          <w:rFonts w:ascii="Calibri" w:eastAsia="Calibri" w:hAnsi="Calibri" w:cs="Calibri"/>
          <w:lang w:val="en-US"/>
        </w:rPr>
      </w:pPr>
    </w:p>
    <w:p w14:paraId="3F564427" w14:textId="77777777" w:rsidR="00FD01E2" w:rsidRDefault="00FD01E2" w:rsidP="006C189A">
      <w:pPr>
        <w:jc w:val="both"/>
        <w:rPr>
          <w:rFonts w:ascii="Calibri" w:eastAsia="Calibri" w:hAnsi="Calibri" w:cs="Calibri"/>
          <w:lang w:val="en-US"/>
        </w:rPr>
      </w:pPr>
    </w:p>
    <w:p w14:paraId="6B81724B" w14:textId="77777777" w:rsidR="00FD01E2" w:rsidRDefault="00FD01E2" w:rsidP="006C189A">
      <w:pPr>
        <w:jc w:val="both"/>
        <w:rPr>
          <w:rFonts w:ascii="Calibri" w:eastAsia="Calibri" w:hAnsi="Calibri" w:cs="Calibri"/>
          <w:lang w:val="en-US"/>
        </w:rPr>
      </w:pPr>
    </w:p>
    <w:p w14:paraId="0907C334" w14:textId="77777777" w:rsidR="00FD01E2" w:rsidRPr="00965A63" w:rsidRDefault="00FD01E2" w:rsidP="00FD01E2">
      <w:pPr>
        <w:jc w:val="both"/>
      </w:pPr>
    </w:p>
    <w:p w14:paraId="09D85F30" w14:textId="77777777" w:rsidR="00FD01E2" w:rsidRPr="00965A63" w:rsidRDefault="00FD01E2" w:rsidP="00FD01E2">
      <w:pPr>
        <w:jc w:val="both"/>
      </w:pPr>
    </w:p>
    <w:p w14:paraId="4CC857E1" w14:textId="77777777" w:rsidR="00FD01E2" w:rsidRPr="00C11FF9" w:rsidRDefault="00FD01E2" w:rsidP="00FD01E2">
      <w:pPr>
        <w:rPr>
          <w:b/>
          <w:bCs/>
          <w:lang w:val="en-US"/>
        </w:rPr>
      </w:pPr>
      <w:r w:rsidRPr="00C11FF9">
        <w:rPr>
          <w:b/>
          <w:bCs/>
          <w:lang w:val="en-US"/>
        </w:rPr>
        <w:t xml:space="preserve">OPENNESS OF </w:t>
      </w:r>
      <w:r>
        <w:rPr>
          <w:b/>
          <w:bCs/>
          <w:lang w:val="en-US"/>
        </w:rPr>
        <w:t>THE JUDICIARY</w:t>
      </w:r>
      <w:r w:rsidRPr="00C11FF9">
        <w:rPr>
          <w:b/>
          <w:bCs/>
          <w:lang w:val="en-US"/>
        </w:rPr>
        <w:t xml:space="preserve"> IN THE REGION AND MONTENEGRO</w:t>
      </w:r>
    </w:p>
    <w:p w14:paraId="3CE0295B" w14:textId="77777777" w:rsidR="00FD01E2" w:rsidRPr="00C11FF9" w:rsidRDefault="00FD01E2" w:rsidP="00FD01E2">
      <w:pPr>
        <w:rPr>
          <w:b/>
          <w:bCs/>
          <w:lang w:val="en-US"/>
        </w:rPr>
      </w:pPr>
      <w:r w:rsidRPr="00C11FF9">
        <w:rPr>
          <w:b/>
          <w:bCs/>
          <w:lang w:val="en-US"/>
        </w:rPr>
        <w:t xml:space="preserve">Recommendations for improvement based on the Regional Openness Index </w:t>
      </w:r>
    </w:p>
    <w:p w14:paraId="7E9F60FF" w14:textId="77777777" w:rsidR="00FD01E2" w:rsidRPr="00C11FF9" w:rsidRDefault="00FD01E2" w:rsidP="00FD01E2">
      <w:pPr>
        <w:rPr>
          <w:b/>
          <w:bCs/>
          <w:lang w:val="en-US"/>
        </w:rPr>
      </w:pPr>
      <w:r w:rsidRPr="00C11FF9">
        <w:rPr>
          <w:b/>
          <w:bCs/>
          <w:lang w:val="en-US"/>
        </w:rPr>
        <w:t xml:space="preserve">Authors: </w:t>
      </w:r>
      <w:proofErr w:type="spellStart"/>
      <w:r w:rsidRPr="00C11FF9">
        <w:rPr>
          <w:b/>
          <w:bCs/>
          <w:lang w:val="en-US"/>
        </w:rPr>
        <w:t>Dragan</w:t>
      </w:r>
      <w:proofErr w:type="spellEnd"/>
      <w:r w:rsidRPr="00C11FF9">
        <w:rPr>
          <w:b/>
          <w:bCs/>
          <w:lang w:val="en-US"/>
        </w:rPr>
        <w:t xml:space="preserve"> </w:t>
      </w:r>
      <w:proofErr w:type="spellStart"/>
      <w:r w:rsidRPr="00C11FF9">
        <w:rPr>
          <w:b/>
          <w:bCs/>
          <w:lang w:val="en-US"/>
        </w:rPr>
        <w:t>Koprivica</w:t>
      </w:r>
      <w:proofErr w:type="spellEnd"/>
      <w:r w:rsidRPr="00C11FF9">
        <w:rPr>
          <w:b/>
          <w:bCs/>
          <w:lang w:val="en-US"/>
        </w:rPr>
        <w:t xml:space="preserve">, Milena Gvozdenović and </w:t>
      </w:r>
      <w:proofErr w:type="spellStart"/>
      <w:r w:rsidRPr="00C11FF9">
        <w:rPr>
          <w:b/>
          <w:bCs/>
          <w:lang w:val="en-US"/>
        </w:rPr>
        <w:t>Biljana</w:t>
      </w:r>
      <w:proofErr w:type="spellEnd"/>
      <w:r w:rsidRPr="00C11FF9">
        <w:rPr>
          <w:b/>
          <w:bCs/>
          <w:lang w:val="en-US"/>
        </w:rPr>
        <w:t xml:space="preserve"> </w:t>
      </w:r>
      <w:proofErr w:type="spellStart"/>
      <w:r w:rsidRPr="00C11FF9">
        <w:rPr>
          <w:b/>
          <w:bCs/>
          <w:lang w:val="en-US"/>
        </w:rPr>
        <w:t>Papović</w:t>
      </w:r>
      <w:proofErr w:type="spellEnd"/>
    </w:p>
    <w:p w14:paraId="600A9730" w14:textId="77777777" w:rsidR="00FD01E2" w:rsidRDefault="00FD01E2" w:rsidP="006C189A">
      <w:pPr>
        <w:jc w:val="both"/>
        <w:rPr>
          <w:rFonts w:ascii="Calibri" w:eastAsia="Calibri" w:hAnsi="Calibri" w:cs="Calibri"/>
          <w:lang w:val="en-US"/>
        </w:rPr>
      </w:pPr>
    </w:p>
    <w:p w14:paraId="1156F4AA" w14:textId="77777777" w:rsidR="00FD01E2" w:rsidRDefault="00FD01E2" w:rsidP="006C189A">
      <w:pPr>
        <w:jc w:val="both"/>
        <w:rPr>
          <w:rFonts w:ascii="Calibri" w:eastAsia="Calibri" w:hAnsi="Calibri" w:cs="Calibri"/>
          <w:lang w:val="en-US"/>
        </w:rPr>
      </w:pPr>
    </w:p>
    <w:p w14:paraId="4FF4EAA2" w14:textId="77777777" w:rsidR="00FD01E2" w:rsidRDefault="00FD01E2" w:rsidP="006C189A">
      <w:pPr>
        <w:jc w:val="both"/>
        <w:rPr>
          <w:rFonts w:ascii="Calibri" w:eastAsia="Calibri" w:hAnsi="Calibri" w:cs="Calibri"/>
          <w:lang w:val="en-US"/>
        </w:rPr>
      </w:pPr>
    </w:p>
    <w:p w14:paraId="435907C7" w14:textId="77777777" w:rsidR="00FD01E2" w:rsidRDefault="00FD01E2" w:rsidP="006C189A">
      <w:pPr>
        <w:jc w:val="both"/>
        <w:rPr>
          <w:rFonts w:ascii="Calibri" w:eastAsia="Calibri" w:hAnsi="Calibri" w:cs="Calibri"/>
          <w:lang w:val="en-US"/>
        </w:rPr>
      </w:pPr>
    </w:p>
    <w:p w14:paraId="498C41EC" w14:textId="77777777" w:rsidR="00FD01E2" w:rsidRDefault="00FD01E2" w:rsidP="006C189A">
      <w:pPr>
        <w:jc w:val="both"/>
        <w:rPr>
          <w:rFonts w:ascii="Calibri" w:eastAsia="Calibri" w:hAnsi="Calibri" w:cs="Calibri"/>
          <w:lang w:val="en-US"/>
        </w:rPr>
      </w:pPr>
    </w:p>
    <w:p w14:paraId="24C9D267" w14:textId="77777777" w:rsidR="00FD01E2" w:rsidRDefault="00FD01E2" w:rsidP="006C189A">
      <w:pPr>
        <w:jc w:val="both"/>
        <w:rPr>
          <w:rFonts w:ascii="Calibri" w:eastAsia="Calibri" w:hAnsi="Calibri" w:cs="Calibri"/>
          <w:lang w:val="en-US"/>
        </w:rPr>
      </w:pPr>
    </w:p>
    <w:p w14:paraId="6D9980D2" w14:textId="77777777" w:rsidR="00FD01E2" w:rsidRDefault="00FD01E2" w:rsidP="006C189A">
      <w:pPr>
        <w:jc w:val="both"/>
        <w:rPr>
          <w:rFonts w:ascii="Calibri" w:eastAsia="Calibri" w:hAnsi="Calibri" w:cs="Calibri"/>
          <w:lang w:val="en-US"/>
        </w:rPr>
      </w:pPr>
    </w:p>
    <w:p w14:paraId="34EFFC77" w14:textId="77777777" w:rsidR="00FD01E2" w:rsidRDefault="00FD01E2" w:rsidP="006C189A">
      <w:pPr>
        <w:jc w:val="both"/>
        <w:rPr>
          <w:rFonts w:ascii="Calibri" w:eastAsia="Calibri" w:hAnsi="Calibri" w:cs="Calibri"/>
          <w:lang w:val="en-US"/>
        </w:rPr>
      </w:pPr>
    </w:p>
    <w:p w14:paraId="2A8859EB" w14:textId="77777777" w:rsidR="00FD01E2" w:rsidRPr="000F5760" w:rsidRDefault="00FD01E2" w:rsidP="00FD01E2">
      <w:pPr>
        <w:jc w:val="both"/>
        <w:rPr>
          <w:b/>
          <w:bCs/>
        </w:rPr>
      </w:pPr>
      <w:r w:rsidRPr="000F5760">
        <w:rPr>
          <w:b/>
          <w:bCs/>
        </w:rPr>
        <w:t>CENTER FOR DEMOCRATIC TRANSITION</w:t>
      </w:r>
    </w:p>
    <w:p w14:paraId="4BEE6683" w14:textId="77777777" w:rsidR="00FD01E2" w:rsidRPr="00692301" w:rsidRDefault="00FD01E2" w:rsidP="00FD01E2">
      <w:pPr>
        <w:jc w:val="both"/>
      </w:pPr>
      <w:proofErr w:type="spellStart"/>
      <w:r w:rsidRPr="00692301">
        <w:t>Moskovska</w:t>
      </w:r>
      <w:proofErr w:type="spellEnd"/>
      <w:r w:rsidRPr="00692301">
        <w:t xml:space="preserve"> 153, 81 000 Podgorica, </w:t>
      </w:r>
      <w:r>
        <w:t>Montenegro</w:t>
      </w:r>
    </w:p>
    <w:p w14:paraId="13DF8DC7" w14:textId="77777777" w:rsidR="00FD01E2" w:rsidRPr="00692301" w:rsidRDefault="00FD01E2" w:rsidP="00FD01E2">
      <w:pPr>
        <w:jc w:val="both"/>
      </w:pPr>
      <w:r w:rsidRPr="00692301">
        <w:t>+382 20 331 227</w:t>
      </w:r>
    </w:p>
    <w:p w14:paraId="024ECB23" w14:textId="77777777" w:rsidR="00FD01E2" w:rsidRPr="00692301" w:rsidRDefault="004A3A44" w:rsidP="00FD01E2">
      <w:pPr>
        <w:jc w:val="both"/>
      </w:pPr>
      <w:hyperlink r:id="rId10" w:history="1">
        <w:r w:rsidR="00FD01E2" w:rsidRPr="00692301">
          <w:rPr>
            <w:rStyle w:val="Hyperlink"/>
          </w:rPr>
          <w:t>cdtmn@t-com.me</w:t>
        </w:r>
      </w:hyperlink>
      <w:r w:rsidR="00FD01E2" w:rsidRPr="00692301">
        <w:t xml:space="preserve"> </w:t>
      </w:r>
    </w:p>
    <w:p w14:paraId="23D3A7E7" w14:textId="77777777" w:rsidR="00FD01E2" w:rsidRPr="00965A63" w:rsidRDefault="004A3A44" w:rsidP="00FD01E2">
      <w:pPr>
        <w:jc w:val="both"/>
      </w:pPr>
      <w:hyperlink r:id="rId11" w:history="1">
        <w:r w:rsidR="00FD01E2" w:rsidRPr="00965A63">
          <w:rPr>
            <w:rStyle w:val="Hyperlink"/>
          </w:rPr>
          <w:t>www.cdtmn.org</w:t>
        </w:r>
      </w:hyperlink>
      <w:r w:rsidR="00FD01E2" w:rsidRPr="00965A63">
        <w:t xml:space="preserve"> </w:t>
      </w:r>
    </w:p>
    <w:p w14:paraId="01DA30A2" w14:textId="77777777" w:rsidR="00FD01E2" w:rsidRPr="00C11FF9" w:rsidRDefault="00FD01E2" w:rsidP="006C189A">
      <w:pPr>
        <w:jc w:val="both"/>
        <w:rPr>
          <w:rFonts w:ascii="Calibri" w:eastAsia="Calibri" w:hAnsi="Calibri" w:cs="Calibri"/>
          <w:lang w:val="en-US"/>
        </w:rPr>
      </w:pPr>
    </w:p>
    <w:sectPr w:rsidR="00FD01E2" w:rsidRPr="00C11FF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8792" w14:textId="77777777" w:rsidR="004A3A44" w:rsidRDefault="004A3A44" w:rsidP="00B562A3">
      <w:pPr>
        <w:spacing w:after="0" w:line="240" w:lineRule="auto"/>
      </w:pPr>
      <w:r>
        <w:separator/>
      </w:r>
    </w:p>
  </w:endnote>
  <w:endnote w:type="continuationSeparator" w:id="0">
    <w:p w14:paraId="34AEFB34" w14:textId="77777777" w:rsidR="004A3A44" w:rsidRDefault="004A3A44" w:rsidP="00B5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6593" w14:textId="77777777" w:rsidR="004A3A44" w:rsidRDefault="004A3A44" w:rsidP="00B562A3">
      <w:pPr>
        <w:spacing w:after="0" w:line="240" w:lineRule="auto"/>
      </w:pPr>
      <w:r>
        <w:separator/>
      </w:r>
    </w:p>
  </w:footnote>
  <w:footnote w:type="continuationSeparator" w:id="0">
    <w:p w14:paraId="0F9E6455" w14:textId="77777777" w:rsidR="004A3A44" w:rsidRDefault="004A3A44" w:rsidP="00B562A3">
      <w:pPr>
        <w:spacing w:after="0" w:line="240" w:lineRule="auto"/>
      </w:pPr>
      <w:r>
        <w:continuationSeparator/>
      </w:r>
    </w:p>
  </w:footnote>
  <w:footnote w:id="1">
    <w:p w14:paraId="4E949AA1" w14:textId="77777777" w:rsidR="00EF2DAE" w:rsidRPr="00C30CBE" w:rsidRDefault="00EF2DAE" w:rsidP="00EF2DAE">
      <w:pPr>
        <w:pStyle w:val="FootnoteText"/>
        <w:rPr>
          <w:lang w:val="sr-Latn-RS"/>
        </w:rPr>
      </w:pPr>
      <w:r>
        <w:rPr>
          <w:rStyle w:val="FootnoteReference"/>
        </w:rPr>
        <w:footnoteRef/>
      </w:r>
      <w:r>
        <w:t xml:space="preserve"> </w:t>
      </w:r>
      <w:r>
        <w:rPr>
          <w:lang w:val="sr-Latn-RS"/>
        </w:rPr>
        <w:t xml:space="preserve">Open Government Partnership, </w:t>
      </w:r>
      <w:r w:rsidR="004A3A44">
        <w:fldChar w:fldCharType="begin"/>
      </w:r>
      <w:r w:rsidR="004A3A44">
        <w:instrText xml:space="preserve"> HYPERLINK "https://www.opengovpartnership.org/stories/towards-open-judiciary-achieving-open-justice-through-citizen-participation-and-transparency" </w:instrText>
      </w:r>
      <w:r w:rsidR="004A3A44">
        <w:fldChar w:fldCharType="separate"/>
      </w:r>
      <w:r w:rsidRPr="00F72F1A">
        <w:rPr>
          <w:rStyle w:val="Hyperlink"/>
          <w:lang w:val="sr-Latn-RS"/>
        </w:rPr>
        <w:t>https://www.opengovpartnership.org/stories/towards-open-judiciary-achieving-open-justice-through-citizen-participation-and-transparency</w:t>
      </w:r>
      <w:r w:rsidR="004A3A44">
        <w:rPr>
          <w:rStyle w:val="Hyperlink"/>
          <w:lang w:val="sr-Latn-RS"/>
        </w:rPr>
        <w:fldChar w:fldCharType="end"/>
      </w:r>
      <w:r w:rsidRPr="00C30CBE">
        <w:rPr>
          <w:lang w:val="sr-Latn-RS"/>
        </w:rPr>
        <w:t>.</w:t>
      </w:r>
      <w:r>
        <w:rPr>
          <w:lang w:val="sr-Latn-RS"/>
        </w:rPr>
        <w:t xml:space="preserve"> </w:t>
      </w:r>
    </w:p>
  </w:footnote>
  <w:footnote w:id="2">
    <w:p w14:paraId="0CF24048" w14:textId="29E6507D" w:rsidR="0043220A" w:rsidRPr="0094711C" w:rsidRDefault="0043220A" w:rsidP="0043220A">
      <w:pPr>
        <w:pStyle w:val="FootnoteText"/>
        <w:rPr>
          <w:lang w:val="sr-Latn-RS"/>
        </w:rPr>
      </w:pPr>
      <w:r>
        <w:rPr>
          <w:rStyle w:val="FootnoteReference"/>
        </w:rPr>
        <w:footnoteRef/>
      </w:r>
      <w:r w:rsidRPr="007668AE">
        <w:rPr>
          <w:lang w:val="sr-Latn-RS"/>
        </w:rPr>
        <w:t xml:space="preserve"> </w:t>
      </w:r>
      <w:r w:rsidR="008C0501" w:rsidRPr="008C0501">
        <w:rPr>
          <w:lang w:val="en-US"/>
        </w:rPr>
        <w:t xml:space="preserve">Strategy </w:t>
      </w:r>
      <w:r w:rsidR="008C0501">
        <w:rPr>
          <w:lang w:val="en-US"/>
        </w:rPr>
        <w:t xml:space="preserve">for the Reform of the Judiciary </w:t>
      </w:r>
      <w:r w:rsidR="008C0501" w:rsidRPr="008C0501">
        <w:rPr>
          <w:lang w:val="en-US"/>
        </w:rPr>
        <w:t>2014-2018</w:t>
      </w:r>
      <w:r w:rsidR="008C0501">
        <w:rPr>
          <w:lang w:val="sr-Latn-RS"/>
        </w:rPr>
        <w:t xml:space="preserve">, </w:t>
      </w:r>
      <w:r w:rsidR="004A3A44">
        <w:fldChar w:fldCharType="begin"/>
      </w:r>
      <w:r w:rsidR="004A3A44">
        <w:instrText xml:space="preserve"> HYPERLINK "http://sudovi.me/podaci/sscg/dokumenta/5548.pdf" </w:instrText>
      </w:r>
      <w:r w:rsidR="004A3A44">
        <w:fldChar w:fldCharType="separate"/>
      </w:r>
      <w:r w:rsidRPr="00F72F1A">
        <w:rPr>
          <w:rStyle w:val="Hyperlink"/>
          <w:lang w:val="sr-Latn-RS"/>
        </w:rPr>
        <w:t>http://sudovi.me/podaci/sscg/dokumenta/5548.pdf</w:t>
      </w:r>
      <w:r w:rsidR="004A3A44">
        <w:rPr>
          <w:rStyle w:val="Hyperlink"/>
          <w:lang w:val="sr-Latn-RS"/>
        </w:rPr>
        <w:fldChar w:fldCharType="end"/>
      </w:r>
      <w:r>
        <w:rPr>
          <w:lang w:val="sr-Latn-RS"/>
        </w:rPr>
        <w:t xml:space="preserve">. </w:t>
      </w:r>
    </w:p>
  </w:footnote>
  <w:footnote w:id="3">
    <w:p w14:paraId="6E88D1A4" w14:textId="574B9244" w:rsidR="0043220A" w:rsidRPr="0094711C" w:rsidRDefault="0043220A" w:rsidP="0043220A">
      <w:pPr>
        <w:pStyle w:val="FootnoteText"/>
        <w:rPr>
          <w:lang w:val="sr-Latn-RS"/>
        </w:rPr>
      </w:pPr>
      <w:r>
        <w:rPr>
          <w:rStyle w:val="FootnoteReference"/>
        </w:rPr>
        <w:footnoteRef/>
      </w:r>
      <w:r w:rsidRPr="007668AE">
        <w:rPr>
          <w:lang w:val="sr-Latn-RS"/>
        </w:rPr>
        <w:t xml:space="preserve"> </w:t>
      </w:r>
      <w:r w:rsidR="008C0501" w:rsidRPr="008C0501">
        <w:rPr>
          <w:lang w:val="sr-Latn-RS"/>
        </w:rPr>
        <w:t>The sample covered 50% of courts and prosecutor</w:t>
      </w:r>
      <w:r w:rsidR="008C0501">
        <w:rPr>
          <w:lang w:val="sr-Latn-RS"/>
        </w:rPr>
        <w:t>’s</w:t>
      </w:r>
      <w:r w:rsidR="008C0501" w:rsidRPr="008C0501">
        <w:rPr>
          <w:lang w:val="sr-Latn-RS"/>
        </w:rPr>
        <w:t xml:space="preserve"> offices</w:t>
      </w:r>
      <w:r>
        <w:rPr>
          <w:lang w:val="sr-Latn-RS"/>
        </w:rPr>
        <w:t>.</w:t>
      </w:r>
    </w:p>
  </w:footnote>
  <w:footnote w:id="4">
    <w:p w14:paraId="58E3BF98" w14:textId="4DEC04BD" w:rsidR="003C5FAA" w:rsidRPr="006A245B" w:rsidRDefault="003C5FAA" w:rsidP="003C5FAA">
      <w:pPr>
        <w:pStyle w:val="FootnoteText"/>
        <w:rPr>
          <w:lang w:val="sr-Latn-RS"/>
        </w:rPr>
      </w:pPr>
      <w:r>
        <w:rPr>
          <w:rStyle w:val="FootnoteReference"/>
        </w:rPr>
        <w:footnoteRef/>
      </w:r>
      <w:r w:rsidRPr="007668AE">
        <w:rPr>
          <w:lang w:val="sr-Latn-RS"/>
        </w:rPr>
        <w:t xml:space="preserve"> </w:t>
      </w:r>
      <w:r>
        <w:rPr>
          <w:lang w:val="sr-Latn-RS"/>
        </w:rPr>
        <w:t xml:space="preserve">CDT, </w:t>
      </w:r>
      <w:r w:rsidR="008C0501" w:rsidRPr="008C0501">
        <w:rPr>
          <w:i/>
          <w:iCs/>
          <w:lang w:val="sr-Latn-RS"/>
        </w:rPr>
        <w:t xml:space="preserve">Openness of </w:t>
      </w:r>
      <w:r w:rsidR="008C0501">
        <w:rPr>
          <w:i/>
          <w:iCs/>
          <w:lang w:val="sr-Latn-RS"/>
        </w:rPr>
        <w:t>the judiciary</w:t>
      </w:r>
      <w:r w:rsidR="008C0501" w:rsidRPr="008C0501">
        <w:rPr>
          <w:i/>
          <w:iCs/>
          <w:lang w:val="sr-Latn-RS"/>
        </w:rPr>
        <w:t xml:space="preserve"> in the region and Montenegro</w:t>
      </w:r>
      <w:r w:rsidRPr="283C8940">
        <w:rPr>
          <w:i/>
          <w:iCs/>
          <w:lang w:val="sr-Latn-RS"/>
        </w:rPr>
        <w:t xml:space="preserve">, </w:t>
      </w:r>
      <w:r>
        <w:rPr>
          <w:lang w:val="sr-Latn-RS"/>
        </w:rPr>
        <w:t xml:space="preserve">2017, </w:t>
      </w:r>
      <w:r w:rsidR="004A3A44">
        <w:fldChar w:fldCharType="begin"/>
      </w:r>
      <w:r w:rsidR="004A3A44">
        <w:instrText xml:space="preserve"> HYPERLINK "https://www.cdtmn.org/dobroupravljanje/du-analize/otvorenost-pravosuda-u-regionu-i-cg/" </w:instrText>
      </w:r>
      <w:r w:rsidR="004A3A44">
        <w:fldChar w:fldCharType="separate"/>
      </w:r>
      <w:r w:rsidRPr="00F72F1A">
        <w:rPr>
          <w:rStyle w:val="Hyperlink"/>
          <w:lang w:val="sr-Latn-RS"/>
        </w:rPr>
        <w:t>https://www.cdtmn.org/dobroupravljanje/du-analize/otvorenost-pravosuda-u-regionu-i-cg/</w:t>
      </w:r>
      <w:r w:rsidR="004A3A44">
        <w:rPr>
          <w:rStyle w:val="Hyperlink"/>
          <w:lang w:val="sr-Latn-RS"/>
        </w:rPr>
        <w:fldChar w:fldCharType="end"/>
      </w:r>
      <w:r>
        <w:rPr>
          <w:lang w:val="sr-Latn-RS"/>
        </w:rPr>
        <w:t xml:space="preserve">. </w:t>
      </w:r>
    </w:p>
  </w:footnote>
  <w:footnote w:id="5">
    <w:p w14:paraId="1F03D78D" w14:textId="377A02ED" w:rsidR="00E45597" w:rsidRPr="00A14009" w:rsidRDefault="00E45597" w:rsidP="00E45597">
      <w:pPr>
        <w:pStyle w:val="FootnoteText"/>
        <w:rPr>
          <w:lang w:val="sr-Latn-RS"/>
        </w:rPr>
      </w:pPr>
      <w:r>
        <w:rPr>
          <w:rStyle w:val="FootnoteReference"/>
        </w:rPr>
        <w:footnoteRef/>
      </w:r>
      <w:r>
        <w:t xml:space="preserve"> </w:t>
      </w:r>
      <w:r w:rsidR="008C0501" w:rsidRPr="008C0501">
        <w:rPr>
          <w:i/>
          <w:lang w:val="sr-Latn-RS"/>
        </w:rPr>
        <w:t>Ibid</w:t>
      </w:r>
    </w:p>
  </w:footnote>
  <w:footnote w:id="6">
    <w:p w14:paraId="29759189" w14:textId="77777777" w:rsidR="00E45597" w:rsidRDefault="00E45597" w:rsidP="00E45597">
      <w:r w:rsidRPr="4B1FC783">
        <w:rPr>
          <w:rStyle w:val="FootnoteReference"/>
        </w:rPr>
        <w:footnoteRef/>
      </w:r>
      <w:r>
        <w:t xml:space="preserve"> Rosa </w:t>
      </w:r>
      <w:proofErr w:type="spellStart"/>
      <w:r>
        <w:t>Raffaelli</w:t>
      </w:r>
      <w:proofErr w:type="spellEnd"/>
      <w:r>
        <w:t xml:space="preserve">, </w:t>
      </w:r>
      <w:r w:rsidRPr="4B1FC783">
        <w:rPr>
          <w:i/>
          <w:iCs/>
        </w:rPr>
        <w:t>Dissenting opinions in the Supreme Courts of the Member States</w:t>
      </w:r>
      <w:r>
        <w:t xml:space="preserve">, Policy Department C: Citizens' Rights and Constitutional Affairs, European Parliament, Brussels, 2012. </w:t>
      </w:r>
      <w:r w:rsidRPr="4B1FC783">
        <w:rPr>
          <w:sz w:val="25"/>
          <w:szCs w:val="25"/>
        </w:rPr>
        <w:t xml:space="preserve"> </w:t>
      </w:r>
    </w:p>
    <w:p w14:paraId="1E5D03F9" w14:textId="77777777" w:rsidR="00E45597" w:rsidRDefault="00E45597" w:rsidP="00E45597">
      <w:pPr>
        <w:pStyle w:val="FootnoteText"/>
      </w:pPr>
    </w:p>
  </w:footnote>
  <w:footnote w:id="7">
    <w:p w14:paraId="000820AF" w14:textId="577E43FE" w:rsidR="00C667EC" w:rsidRPr="00420FB6" w:rsidRDefault="00C667EC" w:rsidP="00C667EC">
      <w:pPr>
        <w:pStyle w:val="FootnoteText"/>
        <w:rPr>
          <w:lang w:val="sr-Latn-RS"/>
        </w:rPr>
      </w:pPr>
      <w:r>
        <w:rPr>
          <w:rStyle w:val="FootnoteReference"/>
        </w:rPr>
        <w:footnoteRef/>
      </w:r>
      <w:r>
        <w:t xml:space="preserve"> </w:t>
      </w:r>
      <w:r w:rsidR="008C0501">
        <w:t>Work</w:t>
      </w:r>
      <w:r w:rsidR="008C0501" w:rsidRPr="008C0501">
        <w:rPr>
          <w:lang w:val="sr-Latn-RS"/>
        </w:rPr>
        <w:t xml:space="preserve"> </w:t>
      </w:r>
      <w:r w:rsidR="008C0501" w:rsidRPr="008C0501">
        <w:rPr>
          <w:lang w:val="sr-Latn-RS"/>
        </w:rPr>
        <w:t>Plan of the Supreme Court of Montenegro 2018</w:t>
      </w:r>
      <w:r>
        <w:rPr>
          <w:lang w:val="sr-Latn-RS"/>
        </w:rPr>
        <w:t xml:space="preserve">, </w:t>
      </w:r>
      <w:hyperlink r:id="rId1" w:history="1">
        <w:r w:rsidRPr="00F72F1A">
          <w:rPr>
            <w:rStyle w:val="Hyperlink"/>
            <w:lang w:val="sr-Latn-RS"/>
          </w:rPr>
          <w:t>https://sudovi.me/podaci/vrhs/dokumenta/7126.pdf</w:t>
        </w:r>
      </w:hyperlink>
      <w:r>
        <w:rPr>
          <w:lang w:val="sr-Latn-RS"/>
        </w:rPr>
        <w:t xml:space="preserve">. </w:t>
      </w:r>
    </w:p>
  </w:footnote>
  <w:footnote w:id="8">
    <w:p w14:paraId="21186F79" w14:textId="6A3EB5C5" w:rsidR="00E92D21" w:rsidRPr="00E64B86" w:rsidRDefault="00E92D21" w:rsidP="00E92D21">
      <w:pPr>
        <w:pStyle w:val="FootnoteText"/>
        <w:rPr>
          <w:lang w:val="sr-Latn-RS"/>
        </w:rPr>
      </w:pPr>
      <w:r>
        <w:rPr>
          <w:rStyle w:val="FootnoteReference"/>
        </w:rPr>
        <w:footnoteRef/>
      </w:r>
      <w:r w:rsidRPr="007668AE">
        <w:rPr>
          <w:lang w:val="sr-Latn-RS"/>
        </w:rPr>
        <w:t xml:space="preserve"> </w:t>
      </w:r>
      <w:r>
        <w:rPr>
          <w:lang w:val="sr-Latn-RS"/>
        </w:rPr>
        <w:t xml:space="preserve">CDT, </w:t>
      </w:r>
      <w:r w:rsidR="008C0501" w:rsidRPr="008C0501">
        <w:rPr>
          <w:i/>
          <w:iCs/>
          <w:lang w:val="sr-Latn-RS"/>
        </w:rPr>
        <w:t>Openness of the judiciary in the region and Montenegro</w:t>
      </w:r>
      <w:r w:rsidRPr="283C8940">
        <w:rPr>
          <w:i/>
          <w:iCs/>
          <w:lang w:val="sr-Latn-RS"/>
        </w:rPr>
        <w:t xml:space="preserve">, </w:t>
      </w:r>
      <w:r>
        <w:rPr>
          <w:lang w:val="sr-Latn-RS"/>
        </w:rPr>
        <w:t xml:space="preserve">2017, </w:t>
      </w:r>
      <w:hyperlink r:id="rId2" w:history="1">
        <w:r w:rsidRPr="00F72F1A">
          <w:rPr>
            <w:rStyle w:val="Hyperlink"/>
            <w:lang w:val="sr-Latn-RS"/>
          </w:rPr>
          <w:t>https://www.cdtmn.org/dobroupravljanje/du-analize/otvorenost-pravosuda-u-regionu-i-cg/</w:t>
        </w:r>
      </w:hyperlink>
      <w:r>
        <w:rPr>
          <w:lang w:val="sr-Latn-RS"/>
        </w:rPr>
        <w:t>.</w:t>
      </w:r>
    </w:p>
  </w:footnote>
  <w:footnote w:id="9">
    <w:p w14:paraId="1BEA1AD6" w14:textId="752FC57F" w:rsidR="003C3F70" w:rsidRPr="000B1D27" w:rsidRDefault="003C3F70" w:rsidP="003C3F70">
      <w:pPr>
        <w:pStyle w:val="FootnoteText"/>
        <w:rPr>
          <w:i/>
          <w:lang w:val="sr-Latn-RS"/>
        </w:rPr>
      </w:pPr>
      <w:r>
        <w:rPr>
          <w:rStyle w:val="FootnoteReference"/>
        </w:rPr>
        <w:footnoteRef/>
      </w:r>
      <w:r w:rsidRPr="007668AE">
        <w:rPr>
          <w:lang w:val="sr-Latn-RS"/>
        </w:rPr>
        <w:t xml:space="preserve"> </w:t>
      </w:r>
      <w:r w:rsidR="000B1D27" w:rsidRPr="000B1D27">
        <w:rPr>
          <w:i/>
          <w:lang w:val="sr-Latn-RS"/>
        </w:rPr>
        <w:t>Ibid</w:t>
      </w:r>
    </w:p>
  </w:footnote>
  <w:footnote w:id="10">
    <w:p w14:paraId="5A01FE89" w14:textId="1E968558" w:rsidR="003C3F70" w:rsidRPr="00E41D7A" w:rsidRDefault="003C3F70" w:rsidP="003C3F70">
      <w:pPr>
        <w:pStyle w:val="FootnoteText"/>
        <w:rPr>
          <w:lang w:val="sr-Latn-RS"/>
        </w:rPr>
      </w:pPr>
      <w:r>
        <w:rPr>
          <w:rStyle w:val="FootnoteReference"/>
        </w:rPr>
        <w:footnoteRef/>
      </w:r>
      <w:r w:rsidRPr="007668AE">
        <w:rPr>
          <w:lang w:val="sr-Latn-RS"/>
        </w:rPr>
        <w:t xml:space="preserve"> </w:t>
      </w:r>
      <w:r w:rsidR="000B1D27" w:rsidRPr="000B1D27">
        <w:rPr>
          <w:lang w:val="sr-Latn-RS"/>
        </w:rPr>
        <w:t>Annual Work Report</w:t>
      </w:r>
      <w:r w:rsidR="000B1D27">
        <w:rPr>
          <w:lang w:val="sr-Latn-RS"/>
        </w:rPr>
        <w:t>s</w:t>
      </w:r>
      <w:r w:rsidR="000B1D27" w:rsidRPr="000B1D27">
        <w:rPr>
          <w:lang w:val="sr-Latn-RS"/>
        </w:rPr>
        <w:t xml:space="preserve"> </w:t>
      </w:r>
      <w:r w:rsidR="000B1D27">
        <w:rPr>
          <w:lang w:val="sr-Latn-RS"/>
        </w:rPr>
        <w:t>for 2013, 2014, 2015 and 2017 are</w:t>
      </w:r>
      <w:r w:rsidR="000B1D27" w:rsidRPr="000B1D27">
        <w:rPr>
          <w:lang w:val="sr-Latn-RS"/>
        </w:rPr>
        <w:t xml:space="preserve"> available on the website of the Prosecutor</w:t>
      </w:r>
      <w:r w:rsidR="000B1D27">
        <w:rPr>
          <w:lang w:val="sr-Latn-RS"/>
        </w:rPr>
        <w:t>ial Council</w:t>
      </w:r>
      <w:r>
        <w:rPr>
          <w:lang w:val="sr-Latn-R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7"/>
    <w:rsid w:val="00006E99"/>
    <w:rsid w:val="0002041A"/>
    <w:rsid w:val="000332BA"/>
    <w:rsid w:val="00074084"/>
    <w:rsid w:val="00092363"/>
    <w:rsid w:val="000A2DAD"/>
    <w:rsid w:val="000B1D27"/>
    <w:rsid w:val="000D2C09"/>
    <w:rsid w:val="000E2BE7"/>
    <w:rsid w:val="00124782"/>
    <w:rsid w:val="00136499"/>
    <w:rsid w:val="00151AC7"/>
    <w:rsid w:val="00153DDF"/>
    <w:rsid w:val="0016459A"/>
    <w:rsid w:val="00180E93"/>
    <w:rsid w:val="001B3F78"/>
    <w:rsid w:val="001C3F94"/>
    <w:rsid w:val="001E63BB"/>
    <w:rsid w:val="001F27A4"/>
    <w:rsid w:val="0020092E"/>
    <w:rsid w:val="00211E52"/>
    <w:rsid w:val="0022239D"/>
    <w:rsid w:val="0023175D"/>
    <w:rsid w:val="00234659"/>
    <w:rsid w:val="00247B5C"/>
    <w:rsid w:val="0026482F"/>
    <w:rsid w:val="002B27D6"/>
    <w:rsid w:val="002B6452"/>
    <w:rsid w:val="002D2051"/>
    <w:rsid w:val="003169E4"/>
    <w:rsid w:val="00332D81"/>
    <w:rsid w:val="00334FFC"/>
    <w:rsid w:val="00351777"/>
    <w:rsid w:val="00375A34"/>
    <w:rsid w:val="00395F8F"/>
    <w:rsid w:val="003B4700"/>
    <w:rsid w:val="003C3F70"/>
    <w:rsid w:val="003C5FAA"/>
    <w:rsid w:val="003D3DDE"/>
    <w:rsid w:val="003E04EC"/>
    <w:rsid w:val="003E434D"/>
    <w:rsid w:val="003E7438"/>
    <w:rsid w:val="003F39F6"/>
    <w:rsid w:val="00402782"/>
    <w:rsid w:val="004071BF"/>
    <w:rsid w:val="00420FB6"/>
    <w:rsid w:val="0042276A"/>
    <w:rsid w:val="0043220A"/>
    <w:rsid w:val="00440C6D"/>
    <w:rsid w:val="00447DEB"/>
    <w:rsid w:val="00465A3C"/>
    <w:rsid w:val="00471FF8"/>
    <w:rsid w:val="00492376"/>
    <w:rsid w:val="004A3A44"/>
    <w:rsid w:val="004C6B8F"/>
    <w:rsid w:val="00512D20"/>
    <w:rsid w:val="00514E2C"/>
    <w:rsid w:val="005328A8"/>
    <w:rsid w:val="00575A0D"/>
    <w:rsid w:val="00581058"/>
    <w:rsid w:val="005B7160"/>
    <w:rsid w:val="005D1B8E"/>
    <w:rsid w:val="005D5482"/>
    <w:rsid w:val="0061381C"/>
    <w:rsid w:val="00634B90"/>
    <w:rsid w:val="006519E3"/>
    <w:rsid w:val="0065239D"/>
    <w:rsid w:val="0065280F"/>
    <w:rsid w:val="00653230"/>
    <w:rsid w:val="0068653D"/>
    <w:rsid w:val="006A245B"/>
    <w:rsid w:val="006A7293"/>
    <w:rsid w:val="006B5DCA"/>
    <w:rsid w:val="006B72CD"/>
    <w:rsid w:val="006C189A"/>
    <w:rsid w:val="00703343"/>
    <w:rsid w:val="0072611A"/>
    <w:rsid w:val="00744C90"/>
    <w:rsid w:val="007553A1"/>
    <w:rsid w:val="007668AE"/>
    <w:rsid w:val="00770ADD"/>
    <w:rsid w:val="00783283"/>
    <w:rsid w:val="00791E72"/>
    <w:rsid w:val="007B318F"/>
    <w:rsid w:val="00830CC2"/>
    <w:rsid w:val="00852816"/>
    <w:rsid w:val="008B00D9"/>
    <w:rsid w:val="008B3279"/>
    <w:rsid w:val="008C0501"/>
    <w:rsid w:val="00915DDC"/>
    <w:rsid w:val="009228BA"/>
    <w:rsid w:val="0093634C"/>
    <w:rsid w:val="009370FD"/>
    <w:rsid w:val="0094711C"/>
    <w:rsid w:val="00977E0B"/>
    <w:rsid w:val="0098431E"/>
    <w:rsid w:val="0098682B"/>
    <w:rsid w:val="009B1B05"/>
    <w:rsid w:val="009F0740"/>
    <w:rsid w:val="009F259C"/>
    <w:rsid w:val="009F377E"/>
    <w:rsid w:val="00A14009"/>
    <w:rsid w:val="00A529B4"/>
    <w:rsid w:val="00A54374"/>
    <w:rsid w:val="00AD01C8"/>
    <w:rsid w:val="00B3701C"/>
    <w:rsid w:val="00B505BB"/>
    <w:rsid w:val="00B5476F"/>
    <w:rsid w:val="00B54E19"/>
    <w:rsid w:val="00B562A3"/>
    <w:rsid w:val="00B6428D"/>
    <w:rsid w:val="00B74530"/>
    <w:rsid w:val="00B7723F"/>
    <w:rsid w:val="00BC6512"/>
    <w:rsid w:val="00BD3E38"/>
    <w:rsid w:val="00C11F52"/>
    <w:rsid w:val="00C11FF9"/>
    <w:rsid w:val="00C17A87"/>
    <w:rsid w:val="00C30CBE"/>
    <w:rsid w:val="00C404D7"/>
    <w:rsid w:val="00C554A8"/>
    <w:rsid w:val="00C667EC"/>
    <w:rsid w:val="00C7769D"/>
    <w:rsid w:val="00C85DF5"/>
    <w:rsid w:val="00C91A09"/>
    <w:rsid w:val="00C97BE6"/>
    <w:rsid w:val="00D12B52"/>
    <w:rsid w:val="00D301A3"/>
    <w:rsid w:val="00D326C2"/>
    <w:rsid w:val="00DA184F"/>
    <w:rsid w:val="00DC6ECF"/>
    <w:rsid w:val="00DD2396"/>
    <w:rsid w:val="00DF30F9"/>
    <w:rsid w:val="00E41D7A"/>
    <w:rsid w:val="00E45597"/>
    <w:rsid w:val="00E467BB"/>
    <w:rsid w:val="00E64B86"/>
    <w:rsid w:val="00E92D21"/>
    <w:rsid w:val="00EA004B"/>
    <w:rsid w:val="00EF2DAE"/>
    <w:rsid w:val="00F56AEC"/>
    <w:rsid w:val="00F608C9"/>
    <w:rsid w:val="00F6196A"/>
    <w:rsid w:val="00F6489B"/>
    <w:rsid w:val="00F86726"/>
    <w:rsid w:val="00FA0856"/>
    <w:rsid w:val="00FD01E2"/>
    <w:rsid w:val="283C8940"/>
    <w:rsid w:val="4B1FC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9A0B"/>
  <w15:docId w15:val="{81556B77-B57D-4775-BE11-687DE8DA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96A"/>
    <w:pPr>
      <w:keepNext/>
      <w:keepLines/>
      <w:spacing w:before="480" w:after="0"/>
      <w:outlineLvl w:val="0"/>
    </w:pPr>
    <w:rPr>
      <w:rFonts w:asciiTheme="majorHAnsi" w:eastAsiaTheme="majorEastAsia" w:hAnsiTheme="majorHAnsi" w:cstheme="majorBidi"/>
      <w:b/>
      <w:bCs/>
      <w:color w:val="2E74B5" w:themeColor="accent1" w:themeShade="BF"/>
      <w:sz w:val="28"/>
      <w:szCs w:val="28"/>
      <w:lang w:val="sr-Latn-ME"/>
    </w:rPr>
  </w:style>
  <w:style w:type="paragraph" w:styleId="Heading2">
    <w:name w:val="heading 2"/>
    <w:basedOn w:val="Normal"/>
    <w:next w:val="Normal"/>
    <w:link w:val="Heading2Char"/>
    <w:uiPriority w:val="9"/>
    <w:unhideWhenUsed/>
    <w:qFormat/>
    <w:rsid w:val="00F6196A"/>
    <w:pPr>
      <w:keepNext/>
      <w:keepLines/>
      <w:spacing w:before="200" w:after="0"/>
      <w:outlineLvl w:val="1"/>
    </w:pPr>
    <w:rPr>
      <w:rFonts w:asciiTheme="majorHAnsi" w:eastAsiaTheme="majorEastAsia" w:hAnsiTheme="majorHAnsi" w:cstheme="majorBidi"/>
      <w:b/>
      <w:bCs/>
      <w:color w:val="5B9BD5" w:themeColor="accent1"/>
      <w:sz w:val="26"/>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E99"/>
    <w:rPr>
      <w:sz w:val="16"/>
      <w:szCs w:val="16"/>
    </w:rPr>
  </w:style>
  <w:style w:type="paragraph" w:styleId="CommentText">
    <w:name w:val="annotation text"/>
    <w:basedOn w:val="Normal"/>
    <w:link w:val="CommentTextChar"/>
    <w:uiPriority w:val="99"/>
    <w:semiHidden/>
    <w:unhideWhenUsed/>
    <w:rsid w:val="00006E99"/>
    <w:pPr>
      <w:spacing w:line="240" w:lineRule="auto"/>
    </w:pPr>
    <w:rPr>
      <w:sz w:val="20"/>
      <w:szCs w:val="20"/>
    </w:rPr>
  </w:style>
  <w:style w:type="character" w:customStyle="1" w:styleId="CommentTextChar">
    <w:name w:val="Comment Text Char"/>
    <w:basedOn w:val="DefaultParagraphFont"/>
    <w:link w:val="CommentText"/>
    <w:uiPriority w:val="99"/>
    <w:semiHidden/>
    <w:rsid w:val="00006E99"/>
    <w:rPr>
      <w:sz w:val="20"/>
      <w:szCs w:val="20"/>
    </w:rPr>
  </w:style>
  <w:style w:type="paragraph" w:styleId="CommentSubject">
    <w:name w:val="annotation subject"/>
    <w:basedOn w:val="CommentText"/>
    <w:next w:val="CommentText"/>
    <w:link w:val="CommentSubjectChar"/>
    <w:uiPriority w:val="99"/>
    <w:semiHidden/>
    <w:unhideWhenUsed/>
    <w:rsid w:val="00006E99"/>
    <w:rPr>
      <w:b/>
      <w:bCs/>
    </w:rPr>
  </w:style>
  <w:style w:type="character" w:customStyle="1" w:styleId="CommentSubjectChar">
    <w:name w:val="Comment Subject Char"/>
    <w:basedOn w:val="CommentTextChar"/>
    <w:link w:val="CommentSubject"/>
    <w:uiPriority w:val="99"/>
    <w:semiHidden/>
    <w:rsid w:val="00006E99"/>
    <w:rPr>
      <w:b/>
      <w:bCs/>
      <w:sz w:val="20"/>
      <w:szCs w:val="20"/>
    </w:rPr>
  </w:style>
  <w:style w:type="paragraph" w:styleId="BalloonText">
    <w:name w:val="Balloon Text"/>
    <w:basedOn w:val="Normal"/>
    <w:link w:val="BalloonTextChar"/>
    <w:uiPriority w:val="99"/>
    <w:semiHidden/>
    <w:unhideWhenUsed/>
    <w:rsid w:val="0000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99"/>
    <w:rPr>
      <w:rFonts w:ascii="Segoe UI" w:hAnsi="Segoe UI" w:cs="Segoe UI"/>
      <w:sz w:val="18"/>
      <w:szCs w:val="18"/>
    </w:rPr>
  </w:style>
  <w:style w:type="paragraph" w:styleId="FootnoteText">
    <w:name w:val="footnote text"/>
    <w:basedOn w:val="Normal"/>
    <w:link w:val="FootnoteTextChar"/>
    <w:uiPriority w:val="99"/>
    <w:semiHidden/>
    <w:unhideWhenUsed/>
    <w:rsid w:val="00B56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2A3"/>
    <w:rPr>
      <w:sz w:val="20"/>
      <w:szCs w:val="20"/>
    </w:rPr>
  </w:style>
  <w:style w:type="character" w:styleId="FootnoteReference">
    <w:name w:val="footnote reference"/>
    <w:basedOn w:val="DefaultParagraphFont"/>
    <w:uiPriority w:val="99"/>
    <w:semiHidden/>
    <w:unhideWhenUsed/>
    <w:rsid w:val="00B562A3"/>
    <w:rPr>
      <w:vertAlign w:val="superscript"/>
    </w:rPr>
  </w:style>
  <w:style w:type="character" w:styleId="Hyperlink">
    <w:name w:val="Hyperlink"/>
    <w:basedOn w:val="DefaultParagraphFont"/>
    <w:uiPriority w:val="99"/>
    <w:unhideWhenUsed/>
    <w:rsid w:val="00465A3C"/>
    <w:rPr>
      <w:color w:val="0563C1" w:themeColor="hyperlink"/>
      <w:u w:val="single"/>
    </w:rPr>
  </w:style>
  <w:style w:type="character" w:customStyle="1" w:styleId="highlight">
    <w:name w:val="highlight"/>
    <w:basedOn w:val="DefaultParagraphFont"/>
    <w:rsid w:val="00852816"/>
  </w:style>
  <w:style w:type="character" w:customStyle="1" w:styleId="Heading1Char">
    <w:name w:val="Heading 1 Char"/>
    <w:basedOn w:val="DefaultParagraphFont"/>
    <w:link w:val="Heading1"/>
    <w:uiPriority w:val="9"/>
    <w:rsid w:val="00F6196A"/>
    <w:rPr>
      <w:rFonts w:asciiTheme="majorHAnsi" w:eastAsiaTheme="majorEastAsia" w:hAnsiTheme="majorHAnsi" w:cstheme="majorBidi"/>
      <w:b/>
      <w:bCs/>
      <w:color w:val="2E74B5" w:themeColor="accent1" w:themeShade="BF"/>
      <w:sz w:val="28"/>
      <w:szCs w:val="28"/>
      <w:lang w:val="sr-Latn-ME"/>
    </w:rPr>
  </w:style>
  <w:style w:type="character" w:customStyle="1" w:styleId="Heading2Char">
    <w:name w:val="Heading 2 Char"/>
    <w:basedOn w:val="DefaultParagraphFont"/>
    <w:link w:val="Heading2"/>
    <w:uiPriority w:val="9"/>
    <w:rsid w:val="00F6196A"/>
    <w:rPr>
      <w:rFonts w:asciiTheme="majorHAnsi" w:eastAsiaTheme="majorEastAsia" w:hAnsiTheme="majorHAnsi" w:cstheme="majorBidi"/>
      <w:b/>
      <w:bCs/>
      <w:color w:val="5B9BD5" w:themeColor="accent1"/>
      <w:sz w:val="26"/>
      <w:szCs w:val="26"/>
      <w:lang w:val="sr-Latn-ME"/>
    </w:rPr>
  </w:style>
  <w:style w:type="paragraph" w:styleId="NormalWeb">
    <w:name w:val="Normal (Web)"/>
    <w:basedOn w:val="Normal"/>
    <w:uiPriority w:val="99"/>
    <w:unhideWhenUsed/>
    <w:rsid w:val="00F61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F2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2654">
      <w:bodyDiv w:val="1"/>
      <w:marLeft w:val="0"/>
      <w:marRight w:val="0"/>
      <w:marTop w:val="0"/>
      <w:marBottom w:val="0"/>
      <w:divBdr>
        <w:top w:val="none" w:sz="0" w:space="0" w:color="auto"/>
        <w:left w:val="none" w:sz="0" w:space="0" w:color="auto"/>
        <w:bottom w:val="none" w:sz="0" w:space="0" w:color="auto"/>
        <w:right w:val="none" w:sz="0" w:space="0" w:color="auto"/>
      </w:divBdr>
      <w:divsChild>
        <w:div w:id="1230070320">
          <w:marLeft w:val="0"/>
          <w:marRight w:val="0"/>
          <w:marTop w:val="0"/>
          <w:marBottom w:val="0"/>
          <w:divBdr>
            <w:top w:val="none" w:sz="0" w:space="0" w:color="auto"/>
            <w:left w:val="none" w:sz="0" w:space="0" w:color="auto"/>
            <w:bottom w:val="none" w:sz="0" w:space="0" w:color="auto"/>
            <w:right w:val="none" w:sz="0" w:space="0" w:color="auto"/>
          </w:divBdr>
        </w:div>
        <w:div w:id="1976836163">
          <w:marLeft w:val="0"/>
          <w:marRight w:val="0"/>
          <w:marTop w:val="0"/>
          <w:marBottom w:val="0"/>
          <w:divBdr>
            <w:top w:val="none" w:sz="0" w:space="0" w:color="auto"/>
            <w:left w:val="none" w:sz="0" w:space="0" w:color="auto"/>
            <w:bottom w:val="none" w:sz="0" w:space="0" w:color="auto"/>
            <w:right w:val="none" w:sz="0" w:space="0" w:color="auto"/>
          </w:divBdr>
        </w:div>
        <w:div w:id="1106923528">
          <w:marLeft w:val="0"/>
          <w:marRight w:val="0"/>
          <w:marTop w:val="0"/>
          <w:marBottom w:val="0"/>
          <w:divBdr>
            <w:top w:val="none" w:sz="0" w:space="0" w:color="auto"/>
            <w:left w:val="none" w:sz="0" w:space="0" w:color="auto"/>
            <w:bottom w:val="none" w:sz="0" w:space="0" w:color="auto"/>
            <w:right w:val="none" w:sz="0" w:space="0" w:color="auto"/>
          </w:divBdr>
        </w:div>
        <w:div w:id="1827819094">
          <w:marLeft w:val="0"/>
          <w:marRight w:val="0"/>
          <w:marTop w:val="0"/>
          <w:marBottom w:val="0"/>
          <w:divBdr>
            <w:top w:val="none" w:sz="0" w:space="0" w:color="auto"/>
            <w:left w:val="none" w:sz="0" w:space="0" w:color="auto"/>
            <w:bottom w:val="none" w:sz="0" w:space="0" w:color="auto"/>
            <w:right w:val="none" w:sz="0" w:space="0" w:color="auto"/>
          </w:divBdr>
        </w:div>
        <w:div w:id="1515606758">
          <w:marLeft w:val="0"/>
          <w:marRight w:val="0"/>
          <w:marTop w:val="0"/>
          <w:marBottom w:val="0"/>
          <w:divBdr>
            <w:top w:val="none" w:sz="0" w:space="0" w:color="auto"/>
            <w:left w:val="none" w:sz="0" w:space="0" w:color="auto"/>
            <w:bottom w:val="none" w:sz="0" w:space="0" w:color="auto"/>
            <w:right w:val="none" w:sz="0" w:space="0" w:color="auto"/>
          </w:divBdr>
        </w:div>
        <w:div w:id="1515798537">
          <w:marLeft w:val="0"/>
          <w:marRight w:val="0"/>
          <w:marTop w:val="0"/>
          <w:marBottom w:val="0"/>
          <w:divBdr>
            <w:top w:val="none" w:sz="0" w:space="0" w:color="auto"/>
            <w:left w:val="none" w:sz="0" w:space="0" w:color="auto"/>
            <w:bottom w:val="none" w:sz="0" w:space="0" w:color="auto"/>
            <w:right w:val="none" w:sz="0" w:space="0" w:color="auto"/>
          </w:divBdr>
        </w:div>
        <w:div w:id="684130832">
          <w:marLeft w:val="0"/>
          <w:marRight w:val="0"/>
          <w:marTop w:val="0"/>
          <w:marBottom w:val="0"/>
          <w:divBdr>
            <w:top w:val="none" w:sz="0" w:space="0" w:color="auto"/>
            <w:left w:val="none" w:sz="0" w:space="0" w:color="auto"/>
            <w:bottom w:val="none" w:sz="0" w:space="0" w:color="auto"/>
            <w:right w:val="none" w:sz="0" w:space="0" w:color="auto"/>
          </w:divBdr>
        </w:div>
        <w:div w:id="895360537">
          <w:marLeft w:val="0"/>
          <w:marRight w:val="0"/>
          <w:marTop w:val="0"/>
          <w:marBottom w:val="0"/>
          <w:divBdr>
            <w:top w:val="none" w:sz="0" w:space="0" w:color="auto"/>
            <w:left w:val="none" w:sz="0" w:space="0" w:color="auto"/>
            <w:bottom w:val="none" w:sz="0" w:space="0" w:color="auto"/>
            <w:right w:val="none" w:sz="0" w:space="0" w:color="auto"/>
          </w:divBdr>
        </w:div>
        <w:div w:id="666175978">
          <w:marLeft w:val="0"/>
          <w:marRight w:val="0"/>
          <w:marTop w:val="0"/>
          <w:marBottom w:val="0"/>
          <w:divBdr>
            <w:top w:val="none" w:sz="0" w:space="0" w:color="auto"/>
            <w:left w:val="none" w:sz="0" w:space="0" w:color="auto"/>
            <w:bottom w:val="none" w:sz="0" w:space="0" w:color="auto"/>
            <w:right w:val="none" w:sz="0" w:space="0" w:color="auto"/>
          </w:divBdr>
        </w:div>
        <w:div w:id="1421834586">
          <w:marLeft w:val="0"/>
          <w:marRight w:val="0"/>
          <w:marTop w:val="0"/>
          <w:marBottom w:val="0"/>
          <w:divBdr>
            <w:top w:val="none" w:sz="0" w:space="0" w:color="auto"/>
            <w:left w:val="none" w:sz="0" w:space="0" w:color="auto"/>
            <w:bottom w:val="none" w:sz="0" w:space="0" w:color="auto"/>
            <w:right w:val="none" w:sz="0" w:space="0" w:color="auto"/>
          </w:divBdr>
        </w:div>
        <w:div w:id="439884158">
          <w:marLeft w:val="0"/>
          <w:marRight w:val="0"/>
          <w:marTop w:val="0"/>
          <w:marBottom w:val="0"/>
          <w:divBdr>
            <w:top w:val="none" w:sz="0" w:space="0" w:color="auto"/>
            <w:left w:val="none" w:sz="0" w:space="0" w:color="auto"/>
            <w:bottom w:val="none" w:sz="0" w:space="0" w:color="auto"/>
            <w:right w:val="none" w:sz="0" w:space="0" w:color="auto"/>
          </w:divBdr>
        </w:div>
        <w:div w:id="283998999">
          <w:marLeft w:val="0"/>
          <w:marRight w:val="0"/>
          <w:marTop w:val="0"/>
          <w:marBottom w:val="0"/>
          <w:divBdr>
            <w:top w:val="none" w:sz="0" w:space="0" w:color="auto"/>
            <w:left w:val="none" w:sz="0" w:space="0" w:color="auto"/>
            <w:bottom w:val="none" w:sz="0" w:space="0" w:color="auto"/>
            <w:right w:val="none" w:sz="0" w:space="0" w:color="auto"/>
          </w:divBdr>
        </w:div>
        <w:div w:id="1450734642">
          <w:marLeft w:val="0"/>
          <w:marRight w:val="0"/>
          <w:marTop w:val="0"/>
          <w:marBottom w:val="0"/>
          <w:divBdr>
            <w:top w:val="none" w:sz="0" w:space="0" w:color="auto"/>
            <w:left w:val="none" w:sz="0" w:space="0" w:color="auto"/>
            <w:bottom w:val="none" w:sz="0" w:space="0" w:color="auto"/>
            <w:right w:val="none" w:sz="0" w:space="0" w:color="auto"/>
          </w:divBdr>
        </w:div>
        <w:div w:id="1495219049">
          <w:marLeft w:val="0"/>
          <w:marRight w:val="0"/>
          <w:marTop w:val="0"/>
          <w:marBottom w:val="0"/>
          <w:divBdr>
            <w:top w:val="none" w:sz="0" w:space="0" w:color="auto"/>
            <w:left w:val="none" w:sz="0" w:space="0" w:color="auto"/>
            <w:bottom w:val="none" w:sz="0" w:space="0" w:color="auto"/>
            <w:right w:val="none" w:sz="0" w:space="0" w:color="auto"/>
          </w:divBdr>
        </w:div>
        <w:div w:id="864828505">
          <w:marLeft w:val="0"/>
          <w:marRight w:val="0"/>
          <w:marTop w:val="0"/>
          <w:marBottom w:val="0"/>
          <w:divBdr>
            <w:top w:val="none" w:sz="0" w:space="0" w:color="auto"/>
            <w:left w:val="none" w:sz="0" w:space="0" w:color="auto"/>
            <w:bottom w:val="none" w:sz="0" w:space="0" w:color="auto"/>
            <w:right w:val="none" w:sz="0" w:space="0" w:color="auto"/>
          </w:divBdr>
        </w:div>
        <w:div w:id="852917808">
          <w:marLeft w:val="0"/>
          <w:marRight w:val="0"/>
          <w:marTop w:val="0"/>
          <w:marBottom w:val="0"/>
          <w:divBdr>
            <w:top w:val="none" w:sz="0" w:space="0" w:color="auto"/>
            <w:left w:val="none" w:sz="0" w:space="0" w:color="auto"/>
            <w:bottom w:val="none" w:sz="0" w:space="0" w:color="auto"/>
            <w:right w:val="none" w:sz="0" w:space="0" w:color="auto"/>
          </w:divBdr>
        </w:div>
        <w:div w:id="569388083">
          <w:marLeft w:val="0"/>
          <w:marRight w:val="0"/>
          <w:marTop w:val="0"/>
          <w:marBottom w:val="0"/>
          <w:divBdr>
            <w:top w:val="none" w:sz="0" w:space="0" w:color="auto"/>
            <w:left w:val="none" w:sz="0" w:space="0" w:color="auto"/>
            <w:bottom w:val="none" w:sz="0" w:space="0" w:color="auto"/>
            <w:right w:val="none" w:sz="0" w:space="0" w:color="auto"/>
          </w:divBdr>
        </w:div>
        <w:div w:id="1079327050">
          <w:marLeft w:val="0"/>
          <w:marRight w:val="0"/>
          <w:marTop w:val="0"/>
          <w:marBottom w:val="0"/>
          <w:divBdr>
            <w:top w:val="none" w:sz="0" w:space="0" w:color="auto"/>
            <w:left w:val="none" w:sz="0" w:space="0" w:color="auto"/>
            <w:bottom w:val="none" w:sz="0" w:space="0" w:color="auto"/>
            <w:right w:val="none" w:sz="0" w:space="0" w:color="auto"/>
          </w:divBdr>
        </w:div>
        <w:div w:id="1856067721">
          <w:marLeft w:val="0"/>
          <w:marRight w:val="0"/>
          <w:marTop w:val="0"/>
          <w:marBottom w:val="0"/>
          <w:divBdr>
            <w:top w:val="none" w:sz="0" w:space="0" w:color="auto"/>
            <w:left w:val="none" w:sz="0" w:space="0" w:color="auto"/>
            <w:bottom w:val="none" w:sz="0" w:space="0" w:color="auto"/>
            <w:right w:val="none" w:sz="0" w:space="0" w:color="auto"/>
          </w:divBdr>
        </w:div>
      </w:divsChild>
    </w:div>
    <w:div w:id="1030762513">
      <w:bodyDiv w:val="1"/>
      <w:marLeft w:val="0"/>
      <w:marRight w:val="0"/>
      <w:marTop w:val="0"/>
      <w:marBottom w:val="0"/>
      <w:divBdr>
        <w:top w:val="none" w:sz="0" w:space="0" w:color="auto"/>
        <w:left w:val="none" w:sz="0" w:space="0" w:color="auto"/>
        <w:bottom w:val="none" w:sz="0" w:space="0" w:color="auto"/>
        <w:right w:val="none" w:sz="0" w:space="0" w:color="auto"/>
      </w:divBdr>
      <w:divsChild>
        <w:div w:id="1218667056">
          <w:marLeft w:val="0"/>
          <w:marRight w:val="0"/>
          <w:marTop w:val="0"/>
          <w:marBottom w:val="0"/>
          <w:divBdr>
            <w:top w:val="none" w:sz="0" w:space="0" w:color="auto"/>
            <w:left w:val="none" w:sz="0" w:space="0" w:color="auto"/>
            <w:bottom w:val="none" w:sz="0" w:space="0" w:color="auto"/>
            <w:right w:val="none" w:sz="0" w:space="0" w:color="auto"/>
          </w:divBdr>
        </w:div>
        <w:div w:id="1957591240">
          <w:marLeft w:val="0"/>
          <w:marRight w:val="0"/>
          <w:marTop w:val="0"/>
          <w:marBottom w:val="0"/>
          <w:divBdr>
            <w:top w:val="none" w:sz="0" w:space="0" w:color="auto"/>
            <w:left w:val="none" w:sz="0" w:space="0" w:color="auto"/>
            <w:bottom w:val="none" w:sz="0" w:space="0" w:color="auto"/>
            <w:right w:val="none" w:sz="0" w:space="0" w:color="auto"/>
          </w:divBdr>
        </w:div>
        <w:div w:id="870847625">
          <w:marLeft w:val="0"/>
          <w:marRight w:val="0"/>
          <w:marTop w:val="0"/>
          <w:marBottom w:val="0"/>
          <w:divBdr>
            <w:top w:val="none" w:sz="0" w:space="0" w:color="auto"/>
            <w:left w:val="none" w:sz="0" w:space="0" w:color="auto"/>
            <w:bottom w:val="none" w:sz="0" w:space="0" w:color="auto"/>
            <w:right w:val="none" w:sz="0" w:space="0" w:color="auto"/>
          </w:divBdr>
        </w:div>
        <w:div w:id="1191067294">
          <w:marLeft w:val="0"/>
          <w:marRight w:val="0"/>
          <w:marTop w:val="0"/>
          <w:marBottom w:val="0"/>
          <w:divBdr>
            <w:top w:val="none" w:sz="0" w:space="0" w:color="auto"/>
            <w:left w:val="none" w:sz="0" w:space="0" w:color="auto"/>
            <w:bottom w:val="none" w:sz="0" w:space="0" w:color="auto"/>
            <w:right w:val="none" w:sz="0" w:space="0" w:color="auto"/>
          </w:divBdr>
        </w:div>
        <w:div w:id="1296719423">
          <w:marLeft w:val="0"/>
          <w:marRight w:val="0"/>
          <w:marTop w:val="0"/>
          <w:marBottom w:val="0"/>
          <w:divBdr>
            <w:top w:val="none" w:sz="0" w:space="0" w:color="auto"/>
            <w:left w:val="none" w:sz="0" w:space="0" w:color="auto"/>
            <w:bottom w:val="none" w:sz="0" w:space="0" w:color="auto"/>
            <w:right w:val="none" w:sz="0" w:space="0" w:color="auto"/>
          </w:divBdr>
        </w:div>
      </w:divsChild>
    </w:div>
    <w:div w:id="1107501700">
      <w:bodyDiv w:val="1"/>
      <w:marLeft w:val="0"/>
      <w:marRight w:val="0"/>
      <w:marTop w:val="0"/>
      <w:marBottom w:val="0"/>
      <w:divBdr>
        <w:top w:val="none" w:sz="0" w:space="0" w:color="auto"/>
        <w:left w:val="none" w:sz="0" w:space="0" w:color="auto"/>
        <w:bottom w:val="none" w:sz="0" w:space="0" w:color="auto"/>
        <w:right w:val="none" w:sz="0" w:space="0" w:color="auto"/>
      </w:divBdr>
      <w:divsChild>
        <w:div w:id="647781092">
          <w:marLeft w:val="0"/>
          <w:marRight w:val="0"/>
          <w:marTop w:val="0"/>
          <w:marBottom w:val="0"/>
          <w:divBdr>
            <w:top w:val="none" w:sz="0" w:space="0" w:color="auto"/>
            <w:left w:val="none" w:sz="0" w:space="0" w:color="auto"/>
            <w:bottom w:val="none" w:sz="0" w:space="0" w:color="auto"/>
            <w:right w:val="none" w:sz="0" w:space="0" w:color="auto"/>
          </w:divBdr>
        </w:div>
        <w:div w:id="2045252484">
          <w:marLeft w:val="0"/>
          <w:marRight w:val="0"/>
          <w:marTop w:val="0"/>
          <w:marBottom w:val="0"/>
          <w:divBdr>
            <w:top w:val="none" w:sz="0" w:space="0" w:color="auto"/>
            <w:left w:val="none" w:sz="0" w:space="0" w:color="auto"/>
            <w:bottom w:val="none" w:sz="0" w:space="0" w:color="auto"/>
            <w:right w:val="none" w:sz="0" w:space="0" w:color="auto"/>
          </w:divBdr>
        </w:div>
        <w:div w:id="1227765421">
          <w:marLeft w:val="0"/>
          <w:marRight w:val="0"/>
          <w:marTop w:val="0"/>
          <w:marBottom w:val="0"/>
          <w:divBdr>
            <w:top w:val="none" w:sz="0" w:space="0" w:color="auto"/>
            <w:left w:val="none" w:sz="0" w:space="0" w:color="auto"/>
            <w:bottom w:val="none" w:sz="0" w:space="0" w:color="auto"/>
            <w:right w:val="none" w:sz="0" w:space="0" w:color="auto"/>
          </w:divBdr>
        </w:div>
        <w:div w:id="669409113">
          <w:marLeft w:val="0"/>
          <w:marRight w:val="0"/>
          <w:marTop w:val="0"/>
          <w:marBottom w:val="0"/>
          <w:divBdr>
            <w:top w:val="none" w:sz="0" w:space="0" w:color="auto"/>
            <w:left w:val="none" w:sz="0" w:space="0" w:color="auto"/>
            <w:bottom w:val="none" w:sz="0" w:space="0" w:color="auto"/>
            <w:right w:val="none" w:sz="0" w:space="0" w:color="auto"/>
          </w:divBdr>
        </w:div>
        <w:div w:id="213852110">
          <w:marLeft w:val="0"/>
          <w:marRight w:val="0"/>
          <w:marTop w:val="0"/>
          <w:marBottom w:val="0"/>
          <w:divBdr>
            <w:top w:val="none" w:sz="0" w:space="0" w:color="auto"/>
            <w:left w:val="none" w:sz="0" w:space="0" w:color="auto"/>
            <w:bottom w:val="none" w:sz="0" w:space="0" w:color="auto"/>
            <w:right w:val="none" w:sz="0" w:space="0" w:color="auto"/>
          </w:divBdr>
        </w:div>
        <w:div w:id="1123575438">
          <w:marLeft w:val="0"/>
          <w:marRight w:val="0"/>
          <w:marTop w:val="0"/>
          <w:marBottom w:val="0"/>
          <w:divBdr>
            <w:top w:val="none" w:sz="0" w:space="0" w:color="auto"/>
            <w:left w:val="none" w:sz="0" w:space="0" w:color="auto"/>
            <w:bottom w:val="none" w:sz="0" w:space="0" w:color="auto"/>
            <w:right w:val="none" w:sz="0" w:space="0" w:color="auto"/>
          </w:divBdr>
        </w:div>
        <w:div w:id="2028091759">
          <w:marLeft w:val="0"/>
          <w:marRight w:val="0"/>
          <w:marTop w:val="0"/>
          <w:marBottom w:val="0"/>
          <w:divBdr>
            <w:top w:val="none" w:sz="0" w:space="0" w:color="auto"/>
            <w:left w:val="none" w:sz="0" w:space="0" w:color="auto"/>
            <w:bottom w:val="none" w:sz="0" w:space="0" w:color="auto"/>
            <w:right w:val="none" w:sz="0" w:space="0" w:color="auto"/>
          </w:divBdr>
        </w:div>
        <w:div w:id="1741488555">
          <w:marLeft w:val="0"/>
          <w:marRight w:val="0"/>
          <w:marTop w:val="0"/>
          <w:marBottom w:val="0"/>
          <w:divBdr>
            <w:top w:val="none" w:sz="0" w:space="0" w:color="auto"/>
            <w:left w:val="none" w:sz="0" w:space="0" w:color="auto"/>
            <w:bottom w:val="none" w:sz="0" w:space="0" w:color="auto"/>
            <w:right w:val="none" w:sz="0" w:space="0" w:color="auto"/>
          </w:divBdr>
        </w:div>
        <w:div w:id="316300654">
          <w:marLeft w:val="0"/>
          <w:marRight w:val="0"/>
          <w:marTop w:val="0"/>
          <w:marBottom w:val="0"/>
          <w:divBdr>
            <w:top w:val="none" w:sz="0" w:space="0" w:color="auto"/>
            <w:left w:val="none" w:sz="0" w:space="0" w:color="auto"/>
            <w:bottom w:val="none" w:sz="0" w:space="0" w:color="auto"/>
            <w:right w:val="none" w:sz="0" w:space="0" w:color="auto"/>
          </w:divBdr>
        </w:div>
        <w:div w:id="1980963059">
          <w:marLeft w:val="0"/>
          <w:marRight w:val="0"/>
          <w:marTop w:val="0"/>
          <w:marBottom w:val="0"/>
          <w:divBdr>
            <w:top w:val="none" w:sz="0" w:space="0" w:color="auto"/>
            <w:left w:val="none" w:sz="0" w:space="0" w:color="auto"/>
            <w:bottom w:val="none" w:sz="0" w:space="0" w:color="auto"/>
            <w:right w:val="none" w:sz="0" w:space="0" w:color="auto"/>
          </w:divBdr>
        </w:div>
      </w:divsChild>
    </w:div>
    <w:div w:id="1697191691">
      <w:bodyDiv w:val="1"/>
      <w:marLeft w:val="0"/>
      <w:marRight w:val="0"/>
      <w:marTop w:val="0"/>
      <w:marBottom w:val="0"/>
      <w:divBdr>
        <w:top w:val="none" w:sz="0" w:space="0" w:color="auto"/>
        <w:left w:val="none" w:sz="0" w:space="0" w:color="auto"/>
        <w:bottom w:val="none" w:sz="0" w:space="0" w:color="auto"/>
        <w:right w:val="none" w:sz="0" w:space="0" w:color="auto"/>
      </w:divBdr>
      <w:divsChild>
        <w:div w:id="125128883">
          <w:marLeft w:val="0"/>
          <w:marRight w:val="0"/>
          <w:marTop w:val="0"/>
          <w:marBottom w:val="0"/>
          <w:divBdr>
            <w:top w:val="none" w:sz="0" w:space="0" w:color="auto"/>
            <w:left w:val="none" w:sz="0" w:space="0" w:color="auto"/>
            <w:bottom w:val="none" w:sz="0" w:space="0" w:color="auto"/>
            <w:right w:val="none" w:sz="0" w:space="0" w:color="auto"/>
          </w:divBdr>
        </w:div>
        <w:div w:id="145781926">
          <w:marLeft w:val="0"/>
          <w:marRight w:val="0"/>
          <w:marTop w:val="0"/>
          <w:marBottom w:val="0"/>
          <w:divBdr>
            <w:top w:val="none" w:sz="0" w:space="0" w:color="auto"/>
            <w:left w:val="none" w:sz="0" w:space="0" w:color="auto"/>
            <w:bottom w:val="none" w:sz="0" w:space="0" w:color="auto"/>
            <w:right w:val="none" w:sz="0" w:space="0" w:color="auto"/>
          </w:divBdr>
        </w:div>
        <w:div w:id="1098791555">
          <w:marLeft w:val="0"/>
          <w:marRight w:val="0"/>
          <w:marTop w:val="0"/>
          <w:marBottom w:val="0"/>
          <w:divBdr>
            <w:top w:val="none" w:sz="0" w:space="0" w:color="auto"/>
            <w:left w:val="none" w:sz="0" w:space="0" w:color="auto"/>
            <w:bottom w:val="none" w:sz="0" w:space="0" w:color="auto"/>
            <w:right w:val="none" w:sz="0" w:space="0" w:color="auto"/>
          </w:divBdr>
        </w:div>
        <w:div w:id="1508984372">
          <w:marLeft w:val="0"/>
          <w:marRight w:val="0"/>
          <w:marTop w:val="0"/>
          <w:marBottom w:val="0"/>
          <w:divBdr>
            <w:top w:val="none" w:sz="0" w:space="0" w:color="auto"/>
            <w:left w:val="none" w:sz="0" w:space="0" w:color="auto"/>
            <w:bottom w:val="none" w:sz="0" w:space="0" w:color="auto"/>
            <w:right w:val="none" w:sz="0" w:space="0" w:color="auto"/>
          </w:divBdr>
        </w:div>
        <w:div w:id="1335455949">
          <w:marLeft w:val="0"/>
          <w:marRight w:val="0"/>
          <w:marTop w:val="0"/>
          <w:marBottom w:val="0"/>
          <w:divBdr>
            <w:top w:val="none" w:sz="0" w:space="0" w:color="auto"/>
            <w:left w:val="none" w:sz="0" w:space="0" w:color="auto"/>
            <w:bottom w:val="none" w:sz="0" w:space="0" w:color="auto"/>
            <w:right w:val="none" w:sz="0" w:space="0" w:color="auto"/>
          </w:divBdr>
        </w:div>
        <w:div w:id="318191608">
          <w:marLeft w:val="0"/>
          <w:marRight w:val="0"/>
          <w:marTop w:val="0"/>
          <w:marBottom w:val="0"/>
          <w:divBdr>
            <w:top w:val="none" w:sz="0" w:space="0" w:color="auto"/>
            <w:left w:val="none" w:sz="0" w:space="0" w:color="auto"/>
            <w:bottom w:val="none" w:sz="0" w:space="0" w:color="auto"/>
            <w:right w:val="none" w:sz="0" w:space="0" w:color="auto"/>
          </w:divBdr>
        </w:div>
        <w:div w:id="880287690">
          <w:marLeft w:val="0"/>
          <w:marRight w:val="0"/>
          <w:marTop w:val="0"/>
          <w:marBottom w:val="0"/>
          <w:divBdr>
            <w:top w:val="none" w:sz="0" w:space="0" w:color="auto"/>
            <w:left w:val="none" w:sz="0" w:space="0" w:color="auto"/>
            <w:bottom w:val="none" w:sz="0" w:space="0" w:color="auto"/>
            <w:right w:val="none" w:sz="0" w:space="0" w:color="auto"/>
          </w:divBdr>
        </w:div>
        <w:div w:id="637347388">
          <w:marLeft w:val="0"/>
          <w:marRight w:val="0"/>
          <w:marTop w:val="0"/>
          <w:marBottom w:val="0"/>
          <w:divBdr>
            <w:top w:val="none" w:sz="0" w:space="0" w:color="auto"/>
            <w:left w:val="none" w:sz="0" w:space="0" w:color="auto"/>
            <w:bottom w:val="none" w:sz="0" w:space="0" w:color="auto"/>
            <w:right w:val="none" w:sz="0" w:space="0" w:color="auto"/>
          </w:divBdr>
        </w:div>
        <w:div w:id="1413359345">
          <w:marLeft w:val="0"/>
          <w:marRight w:val="0"/>
          <w:marTop w:val="0"/>
          <w:marBottom w:val="0"/>
          <w:divBdr>
            <w:top w:val="none" w:sz="0" w:space="0" w:color="auto"/>
            <w:left w:val="none" w:sz="0" w:space="0" w:color="auto"/>
            <w:bottom w:val="none" w:sz="0" w:space="0" w:color="auto"/>
            <w:right w:val="none" w:sz="0" w:space="0" w:color="auto"/>
          </w:divBdr>
        </w:div>
        <w:div w:id="1867325269">
          <w:marLeft w:val="0"/>
          <w:marRight w:val="0"/>
          <w:marTop w:val="0"/>
          <w:marBottom w:val="0"/>
          <w:divBdr>
            <w:top w:val="none" w:sz="0" w:space="0" w:color="auto"/>
            <w:left w:val="none" w:sz="0" w:space="0" w:color="auto"/>
            <w:bottom w:val="none" w:sz="0" w:space="0" w:color="auto"/>
            <w:right w:val="none" w:sz="0" w:space="0" w:color="auto"/>
          </w:divBdr>
        </w:div>
        <w:div w:id="311105592">
          <w:marLeft w:val="0"/>
          <w:marRight w:val="0"/>
          <w:marTop w:val="0"/>
          <w:marBottom w:val="0"/>
          <w:divBdr>
            <w:top w:val="none" w:sz="0" w:space="0" w:color="auto"/>
            <w:left w:val="none" w:sz="0" w:space="0" w:color="auto"/>
            <w:bottom w:val="none" w:sz="0" w:space="0" w:color="auto"/>
            <w:right w:val="none" w:sz="0" w:space="0" w:color="auto"/>
          </w:divBdr>
        </w:div>
        <w:div w:id="893853496">
          <w:marLeft w:val="0"/>
          <w:marRight w:val="0"/>
          <w:marTop w:val="0"/>
          <w:marBottom w:val="0"/>
          <w:divBdr>
            <w:top w:val="none" w:sz="0" w:space="0" w:color="auto"/>
            <w:left w:val="none" w:sz="0" w:space="0" w:color="auto"/>
            <w:bottom w:val="none" w:sz="0" w:space="0" w:color="auto"/>
            <w:right w:val="none" w:sz="0" w:space="0" w:color="auto"/>
          </w:divBdr>
        </w:div>
        <w:div w:id="754012596">
          <w:marLeft w:val="0"/>
          <w:marRight w:val="0"/>
          <w:marTop w:val="0"/>
          <w:marBottom w:val="0"/>
          <w:divBdr>
            <w:top w:val="none" w:sz="0" w:space="0" w:color="auto"/>
            <w:left w:val="none" w:sz="0" w:space="0" w:color="auto"/>
            <w:bottom w:val="none" w:sz="0" w:space="0" w:color="auto"/>
            <w:right w:val="none" w:sz="0" w:space="0" w:color="auto"/>
          </w:divBdr>
        </w:div>
        <w:div w:id="4788316">
          <w:marLeft w:val="0"/>
          <w:marRight w:val="0"/>
          <w:marTop w:val="0"/>
          <w:marBottom w:val="0"/>
          <w:divBdr>
            <w:top w:val="none" w:sz="0" w:space="0" w:color="auto"/>
            <w:left w:val="none" w:sz="0" w:space="0" w:color="auto"/>
            <w:bottom w:val="none" w:sz="0" w:space="0" w:color="auto"/>
            <w:right w:val="none" w:sz="0" w:space="0" w:color="auto"/>
          </w:divBdr>
        </w:div>
        <w:div w:id="585580879">
          <w:marLeft w:val="0"/>
          <w:marRight w:val="0"/>
          <w:marTop w:val="0"/>
          <w:marBottom w:val="0"/>
          <w:divBdr>
            <w:top w:val="none" w:sz="0" w:space="0" w:color="auto"/>
            <w:left w:val="none" w:sz="0" w:space="0" w:color="auto"/>
            <w:bottom w:val="none" w:sz="0" w:space="0" w:color="auto"/>
            <w:right w:val="none" w:sz="0" w:space="0" w:color="auto"/>
          </w:divBdr>
        </w:div>
        <w:div w:id="318926642">
          <w:marLeft w:val="0"/>
          <w:marRight w:val="0"/>
          <w:marTop w:val="0"/>
          <w:marBottom w:val="0"/>
          <w:divBdr>
            <w:top w:val="none" w:sz="0" w:space="0" w:color="auto"/>
            <w:left w:val="none" w:sz="0" w:space="0" w:color="auto"/>
            <w:bottom w:val="none" w:sz="0" w:space="0" w:color="auto"/>
            <w:right w:val="none" w:sz="0" w:space="0" w:color="auto"/>
          </w:divBdr>
        </w:div>
        <w:div w:id="2101486567">
          <w:marLeft w:val="0"/>
          <w:marRight w:val="0"/>
          <w:marTop w:val="0"/>
          <w:marBottom w:val="0"/>
          <w:divBdr>
            <w:top w:val="none" w:sz="0" w:space="0" w:color="auto"/>
            <w:left w:val="none" w:sz="0" w:space="0" w:color="auto"/>
            <w:bottom w:val="none" w:sz="0" w:space="0" w:color="auto"/>
            <w:right w:val="none" w:sz="0" w:space="0" w:color="auto"/>
          </w:divBdr>
        </w:div>
        <w:div w:id="1734621625">
          <w:marLeft w:val="0"/>
          <w:marRight w:val="0"/>
          <w:marTop w:val="0"/>
          <w:marBottom w:val="0"/>
          <w:divBdr>
            <w:top w:val="none" w:sz="0" w:space="0" w:color="auto"/>
            <w:left w:val="none" w:sz="0" w:space="0" w:color="auto"/>
            <w:bottom w:val="none" w:sz="0" w:space="0" w:color="auto"/>
            <w:right w:val="none" w:sz="0" w:space="0" w:color="auto"/>
          </w:divBdr>
        </w:div>
        <w:div w:id="41825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tmn.org" TargetMode="External"/><Relationship Id="rId5" Type="http://schemas.openxmlformats.org/officeDocument/2006/relationships/footnotes" Target="footnotes.xml"/><Relationship Id="rId10" Type="http://schemas.openxmlformats.org/officeDocument/2006/relationships/hyperlink" Target="mailto:cdtmn@t-com.me" TargetMode="External"/><Relationship Id="rId4" Type="http://schemas.openxmlformats.org/officeDocument/2006/relationships/webSettings" Target="webSettings.xml"/><Relationship Id="rId9" Type="http://schemas.openxmlformats.org/officeDocument/2006/relationships/image" Target="media/image3.png"/><Relationship Id="R672f4801e09a415d"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dtmn.org/dobroupravljanje/du-analize/otvorenost-pravosuda-u-regionu-i-cg/" TargetMode="External"/><Relationship Id="rId1" Type="http://schemas.openxmlformats.org/officeDocument/2006/relationships/hyperlink" Target="https://sudovi.me/podaci/vrhs/dokumenta/7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0B30-7EEC-4EAB-A984-861C4A2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Gvozdenović</dc:creator>
  <cp:keywords/>
  <dc:description/>
  <cp:lastModifiedBy>Milena Gvozdenović</cp:lastModifiedBy>
  <cp:revision>115</cp:revision>
  <dcterms:created xsi:type="dcterms:W3CDTF">2018-07-18T09:54:00Z</dcterms:created>
  <dcterms:modified xsi:type="dcterms:W3CDTF">2019-01-23T09:56:00Z</dcterms:modified>
</cp:coreProperties>
</file>